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272256" w:rsidP="009B4C73">
            <w:pPr>
              <w:jc w:val="both"/>
            </w:pPr>
            <w:r>
              <w:t>94</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272256" w:rsidP="00B25AD7">
            <w:pPr>
              <w:tabs>
                <w:tab w:val="left" w:pos="825"/>
              </w:tabs>
              <w:ind w:firstLine="29"/>
              <w:jc w:val="both"/>
            </w:pPr>
            <w:r>
              <w:t>16</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5C2955" w:rsidRPr="005C2955" w:rsidRDefault="00B25AD7" w:rsidP="005C2955">
      <w:pPr>
        <w:jc w:val="center"/>
        <w:rPr>
          <w:i/>
          <w:iCs/>
          <w:sz w:val="32"/>
          <w:szCs w:val="32"/>
        </w:rPr>
      </w:pPr>
      <w:r w:rsidRPr="00C952F4">
        <w:rPr>
          <w:i/>
          <w:iCs/>
          <w:sz w:val="32"/>
          <w:szCs w:val="32"/>
        </w:rPr>
        <w:t>на закупівлю</w:t>
      </w:r>
      <w:r w:rsidR="00761263">
        <w:rPr>
          <w:i/>
          <w:iCs/>
          <w:sz w:val="32"/>
          <w:szCs w:val="32"/>
        </w:rPr>
        <w:t xml:space="preserve"> </w:t>
      </w:r>
      <w:r w:rsidR="005C2955">
        <w:rPr>
          <w:i/>
          <w:iCs/>
          <w:sz w:val="32"/>
          <w:szCs w:val="32"/>
        </w:rPr>
        <w:t>к</w:t>
      </w:r>
      <w:r w:rsidR="005C2955" w:rsidRPr="005C2955">
        <w:rPr>
          <w:i/>
          <w:iCs/>
          <w:sz w:val="32"/>
          <w:szCs w:val="32"/>
        </w:rPr>
        <w:t xml:space="preserve">онтролер мультипортовий </w:t>
      </w:r>
    </w:p>
    <w:p w:rsidR="00B25AD7" w:rsidRDefault="00761263" w:rsidP="00B25AD7">
      <w:pPr>
        <w:jc w:val="center"/>
        <w:rPr>
          <w:i/>
          <w:iCs/>
          <w:sz w:val="32"/>
          <w:szCs w:val="32"/>
        </w:rPr>
      </w:pPr>
      <w:r>
        <w:rPr>
          <w:i/>
          <w:iCs/>
          <w:sz w:val="32"/>
          <w:szCs w:val="32"/>
        </w:rPr>
        <w:t xml:space="preserve"> </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5C2955" w:rsidRPr="005C2955">
        <w:rPr>
          <w:i/>
          <w:iCs/>
          <w:sz w:val="32"/>
          <w:szCs w:val="32"/>
        </w:rPr>
        <w:t>32270000-6: Цифрова передавальна апаратура</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5C2955" w:rsidRDefault="005C2955" w:rsidP="005C2955">
            <w:pPr>
              <w:jc w:val="center"/>
              <w:rPr>
                <w:i/>
                <w:iCs/>
                <w:sz w:val="32"/>
                <w:szCs w:val="32"/>
              </w:rPr>
            </w:pPr>
            <w:r>
              <w:rPr>
                <w:i/>
                <w:iCs/>
                <w:sz w:val="32"/>
                <w:szCs w:val="32"/>
              </w:rPr>
              <w:t>к</w:t>
            </w:r>
            <w:r w:rsidRPr="005C2955">
              <w:rPr>
                <w:i/>
                <w:iCs/>
                <w:sz w:val="32"/>
                <w:szCs w:val="32"/>
              </w:rPr>
              <w:t xml:space="preserve">онтролер мультипортовий </w:t>
            </w:r>
          </w:p>
          <w:p w:rsidR="005C2955" w:rsidRPr="00D12A83" w:rsidRDefault="005C2955" w:rsidP="005C2955">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Pr>
                <w:i/>
                <w:iCs/>
                <w:sz w:val="32"/>
                <w:szCs w:val="32"/>
              </w:rPr>
              <w:t>)</w:t>
            </w:r>
            <w:r w:rsidRPr="00D12A83">
              <w:rPr>
                <w:i/>
                <w:iCs/>
                <w:sz w:val="32"/>
                <w:szCs w:val="32"/>
              </w:rPr>
              <w:t>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E92A4D" w:rsidP="00B25AD7">
            <w:pPr>
              <w:pStyle w:val="a5"/>
              <w:tabs>
                <w:tab w:val="clear" w:pos="4677"/>
                <w:tab w:val="clear" w:pos="9355"/>
                <w:tab w:val="left" w:pos="1260"/>
                <w:tab w:val="left" w:pos="1980"/>
              </w:tabs>
              <w:rPr>
                <w:iCs/>
              </w:rPr>
            </w:pPr>
            <w:r>
              <w:rPr>
                <w:iCs/>
              </w:rPr>
              <w:t>10</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272256">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272256">
              <w:rPr>
                <w:iCs/>
              </w:rPr>
              <w:t>/1 центральний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C2955" w:rsidRPr="0034064A" w:rsidRDefault="00761263" w:rsidP="00761263">
            <w:pPr>
              <w:pStyle w:val="a5"/>
              <w:tabs>
                <w:tab w:val="clear" w:pos="4677"/>
                <w:tab w:val="clear" w:pos="9355"/>
                <w:tab w:val="left" w:pos="1260"/>
                <w:tab w:val="left" w:pos="1980"/>
              </w:tabs>
              <w:jc w:val="both"/>
            </w:pPr>
            <w:r w:rsidRPr="00E71A07">
              <w:lastRenderedPageBreak/>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w:t>
            </w:r>
            <w:r w:rsidR="0034064A">
              <w:t>2.5.4</w:t>
            </w:r>
            <w:r w:rsidR="00E92A4D">
              <w:t>5</w:t>
            </w:r>
            <w:r w:rsidR="0034064A">
              <w:t xml:space="preserve">- </w:t>
            </w:r>
          </w:p>
          <w:p w:rsidR="00B25AD7" w:rsidRDefault="005C2955" w:rsidP="00761263">
            <w:pPr>
              <w:pStyle w:val="a5"/>
              <w:tabs>
                <w:tab w:val="clear" w:pos="4677"/>
                <w:tab w:val="clear" w:pos="9355"/>
                <w:tab w:val="left" w:pos="1260"/>
                <w:tab w:val="left" w:pos="1980"/>
              </w:tabs>
              <w:jc w:val="both"/>
            </w:pPr>
            <w:r>
              <w:rPr>
                <w:color w:val="000000"/>
              </w:rPr>
              <w:t xml:space="preserve">Контролер мультипортовий </w:t>
            </w:r>
            <w:r w:rsidR="00E92A4D" w:rsidRPr="00E92A4D">
              <w:rPr>
                <w:color w:val="000000"/>
              </w:rPr>
              <w:t xml:space="preserve">kron MP.4-RS485-03 </w:t>
            </w:r>
            <w:r w:rsidR="00E92A4D">
              <w:rPr>
                <w:color w:val="000000"/>
              </w:rPr>
              <w:t>-10,70</w:t>
            </w:r>
            <w:r>
              <w:t>тис.</w:t>
            </w:r>
            <w:r w:rsidR="0034064A">
              <w:t xml:space="preserve">грн. без ПДВ.; </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 xml:space="preserve">Стандартні характеристики, вимоги, умовні позначення у вигляді скорочень і термінологія, пов’язана з предметом закупівлі, передбачені </w:t>
            </w:r>
            <w:r w:rsidRPr="001378A5">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05A5B">
              <w:rPr>
                <w:color w:val="000000" w:themeColor="text1"/>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w:t>
            </w:r>
            <w:r w:rsidRPr="00175BCF">
              <w:rPr>
                <w:rFonts w:ascii="Times New Roman" w:hAnsi="Times New Roman"/>
                <w:sz w:val="24"/>
              </w:rPr>
              <w:lastRenderedPageBreak/>
              <w:t>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обробку (збирання, реєстрацію, накопичення, зберігання, адаптування, зміну, поновлення, використання і поширення </w:t>
            </w:r>
            <w:r w:rsidRPr="00175BCF">
              <w:rPr>
                <w:rFonts w:ascii="Times New Roman" w:hAnsi="Times New Roman"/>
                <w:sz w:val="24"/>
              </w:rPr>
              <w:lastRenderedPageBreak/>
              <w:t>(розповсюдження,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lastRenderedPageBreak/>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w:t>
            </w:r>
            <w:r w:rsidRPr="00175BCF">
              <w:rPr>
                <w:rFonts w:ascii="Times New Roman" w:hAnsi="Times New Roman"/>
                <w:sz w:val="24"/>
              </w:rPr>
              <w:lastRenderedPageBreak/>
              <w:t>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9B4C73">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sidR="00272256">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272256" w:rsidRPr="003F5DA8" w:rsidRDefault="00272256"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термінів поставки товару, що є предметом торгів.</w:t>
            </w:r>
          </w:p>
          <w:p w:rsidR="00AF3C59" w:rsidRPr="003F5DA8"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272256">
              <w:rPr>
                <w:b/>
                <w:color w:val="000000" w:themeColor="text1"/>
              </w:rPr>
              <w:t>02 березня</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272256">
        <w:rPr>
          <w:b/>
          <w:i/>
        </w:rPr>
        <w:t>Прикарпаття</w:t>
      </w:r>
      <w:r w:rsidR="00FB13DE" w:rsidRPr="00C941C6">
        <w:rPr>
          <w:b/>
          <w:i/>
        </w:rPr>
        <w:t>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Default="00B23F62" w:rsidP="00B23F62">
      <w:pPr>
        <w:jc w:val="center"/>
        <w:rPr>
          <w:b/>
          <w:lang w:val="ru-RU"/>
        </w:rPr>
      </w:pPr>
      <w:r w:rsidRPr="00E336F0">
        <w:rPr>
          <w:b/>
          <w:lang w:val="ru-RU"/>
        </w:rPr>
        <w:t>про закупівлю товарів</w:t>
      </w:r>
    </w:p>
    <w:p w:rsidR="00272256" w:rsidRPr="00E336F0" w:rsidRDefault="00272256" w:rsidP="00272256">
      <w:pPr>
        <w:jc w:val="center"/>
        <w:rPr>
          <w:b/>
        </w:rPr>
      </w:pPr>
    </w:p>
    <w:p w:rsidR="00272256" w:rsidRPr="00E336F0" w:rsidRDefault="00272256" w:rsidP="0027225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272256" w:rsidRPr="00E336F0" w:rsidRDefault="00272256" w:rsidP="00272256">
      <w:pPr>
        <w:jc w:val="center"/>
      </w:pPr>
    </w:p>
    <w:p w:rsidR="00272256" w:rsidRPr="00E336F0" w:rsidRDefault="00272256" w:rsidP="0027225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72256" w:rsidRPr="00E336F0" w:rsidRDefault="00272256" w:rsidP="00272256">
      <w:pPr>
        <w:jc w:val="both"/>
        <w:rPr>
          <w:lang w:val="ru-RU"/>
        </w:rPr>
      </w:pPr>
    </w:p>
    <w:p w:rsidR="00272256" w:rsidRPr="00E336F0" w:rsidRDefault="00272256" w:rsidP="00272256">
      <w:pPr>
        <w:numPr>
          <w:ilvl w:val="0"/>
          <w:numId w:val="13"/>
        </w:numPr>
        <w:contextualSpacing/>
        <w:jc w:val="center"/>
        <w:rPr>
          <w:lang w:val="en-US"/>
        </w:rPr>
      </w:pPr>
      <w:r w:rsidRPr="00E336F0">
        <w:rPr>
          <w:b/>
          <w:lang w:val="ru-RU"/>
        </w:rPr>
        <w:t>ПРЕДМЕТ ДОГОВОРУ</w:t>
      </w:r>
    </w:p>
    <w:p w:rsidR="00272256" w:rsidRPr="00E336F0" w:rsidRDefault="00272256" w:rsidP="00272256">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72256" w:rsidRPr="00E336F0" w:rsidRDefault="00272256" w:rsidP="0027225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272256" w:rsidRPr="00E336F0" w:rsidTr="005908A1">
        <w:tc>
          <w:tcPr>
            <w:tcW w:w="426" w:type="dxa"/>
            <w:vAlign w:val="center"/>
          </w:tcPr>
          <w:p w:rsidR="00272256" w:rsidRPr="007C175E" w:rsidRDefault="00272256" w:rsidP="005908A1">
            <w:pPr>
              <w:jc w:val="center"/>
              <w:rPr>
                <w:b/>
                <w:sz w:val="20"/>
                <w:szCs w:val="20"/>
              </w:rPr>
            </w:pPr>
            <w:r w:rsidRPr="007C175E">
              <w:rPr>
                <w:b/>
                <w:sz w:val="20"/>
                <w:szCs w:val="20"/>
              </w:rPr>
              <w:t>№ п/п</w:t>
            </w:r>
          </w:p>
        </w:tc>
        <w:tc>
          <w:tcPr>
            <w:tcW w:w="3969" w:type="dxa"/>
            <w:vAlign w:val="center"/>
          </w:tcPr>
          <w:p w:rsidR="00272256" w:rsidRPr="007C175E" w:rsidRDefault="00272256" w:rsidP="005908A1">
            <w:pPr>
              <w:jc w:val="center"/>
              <w:rPr>
                <w:b/>
                <w:sz w:val="20"/>
                <w:szCs w:val="20"/>
              </w:rPr>
            </w:pPr>
            <w:r>
              <w:rPr>
                <w:b/>
                <w:sz w:val="20"/>
                <w:szCs w:val="20"/>
              </w:rPr>
              <w:t>Предмет закупівлі</w:t>
            </w:r>
          </w:p>
        </w:tc>
        <w:tc>
          <w:tcPr>
            <w:tcW w:w="708" w:type="dxa"/>
            <w:vAlign w:val="center"/>
          </w:tcPr>
          <w:p w:rsidR="00272256" w:rsidRPr="007C175E" w:rsidRDefault="00272256" w:rsidP="005908A1">
            <w:pPr>
              <w:jc w:val="center"/>
              <w:rPr>
                <w:b/>
                <w:sz w:val="20"/>
                <w:szCs w:val="20"/>
              </w:rPr>
            </w:pPr>
            <w:r w:rsidRPr="007C175E">
              <w:rPr>
                <w:b/>
                <w:sz w:val="20"/>
                <w:szCs w:val="20"/>
              </w:rPr>
              <w:t>Од. вим.</w:t>
            </w:r>
          </w:p>
        </w:tc>
        <w:tc>
          <w:tcPr>
            <w:tcW w:w="709" w:type="dxa"/>
            <w:vAlign w:val="center"/>
          </w:tcPr>
          <w:p w:rsidR="00272256" w:rsidRPr="007C175E" w:rsidRDefault="00272256" w:rsidP="005908A1">
            <w:pPr>
              <w:jc w:val="center"/>
              <w:rPr>
                <w:b/>
                <w:sz w:val="20"/>
                <w:szCs w:val="20"/>
              </w:rPr>
            </w:pPr>
            <w:r w:rsidRPr="007C175E">
              <w:rPr>
                <w:b/>
                <w:sz w:val="20"/>
                <w:szCs w:val="20"/>
              </w:rPr>
              <w:t>Кіль-кість</w:t>
            </w:r>
          </w:p>
        </w:tc>
        <w:tc>
          <w:tcPr>
            <w:tcW w:w="1276" w:type="dxa"/>
            <w:vAlign w:val="center"/>
          </w:tcPr>
          <w:p w:rsidR="00272256" w:rsidRPr="007C175E" w:rsidRDefault="00272256" w:rsidP="005908A1">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272256" w:rsidRPr="007C175E" w:rsidRDefault="00272256" w:rsidP="005908A1">
            <w:pPr>
              <w:rPr>
                <w:b/>
                <w:sz w:val="20"/>
                <w:szCs w:val="20"/>
              </w:rPr>
            </w:pPr>
            <w:r>
              <w:rPr>
                <w:b/>
                <w:sz w:val="20"/>
                <w:szCs w:val="20"/>
              </w:rPr>
              <w:t>Сума</w:t>
            </w:r>
            <w:r w:rsidRPr="007C175E">
              <w:rPr>
                <w:b/>
                <w:sz w:val="20"/>
                <w:szCs w:val="20"/>
              </w:rPr>
              <w:t>, грн. без ПДВ</w:t>
            </w:r>
          </w:p>
        </w:tc>
        <w:tc>
          <w:tcPr>
            <w:tcW w:w="1701" w:type="dxa"/>
            <w:vAlign w:val="center"/>
          </w:tcPr>
          <w:p w:rsidR="00272256" w:rsidRPr="00DA57E4" w:rsidRDefault="00272256" w:rsidP="005908A1">
            <w:pPr>
              <w:rPr>
                <w:b/>
                <w:sz w:val="20"/>
                <w:szCs w:val="20"/>
              </w:rPr>
            </w:pPr>
            <w:r w:rsidRPr="00DA57E4">
              <w:rPr>
                <w:b/>
                <w:sz w:val="20"/>
                <w:szCs w:val="20"/>
              </w:rPr>
              <w:t>Підприємство-виробник,кра-їна-виробник</w:t>
            </w:r>
          </w:p>
        </w:tc>
      </w:tr>
      <w:tr w:rsidR="00272256" w:rsidRPr="00E336F0" w:rsidTr="005908A1">
        <w:tc>
          <w:tcPr>
            <w:tcW w:w="426" w:type="dxa"/>
            <w:vAlign w:val="center"/>
          </w:tcPr>
          <w:p w:rsidR="00272256" w:rsidRPr="00E336F0" w:rsidRDefault="00272256" w:rsidP="005908A1">
            <w:r w:rsidRPr="00E336F0">
              <w:t>1</w:t>
            </w:r>
          </w:p>
        </w:tc>
        <w:tc>
          <w:tcPr>
            <w:tcW w:w="3969" w:type="dxa"/>
            <w:vAlign w:val="center"/>
          </w:tcPr>
          <w:p w:rsidR="00272256" w:rsidRPr="00E336F0" w:rsidRDefault="00272256" w:rsidP="005908A1"/>
        </w:tc>
        <w:tc>
          <w:tcPr>
            <w:tcW w:w="708" w:type="dxa"/>
            <w:vAlign w:val="center"/>
          </w:tcPr>
          <w:p w:rsidR="00272256" w:rsidRPr="00E336F0" w:rsidRDefault="00272256" w:rsidP="005908A1"/>
        </w:tc>
        <w:tc>
          <w:tcPr>
            <w:tcW w:w="709" w:type="dxa"/>
            <w:vAlign w:val="center"/>
          </w:tcPr>
          <w:p w:rsidR="00272256" w:rsidRPr="00E336F0" w:rsidRDefault="00272256" w:rsidP="005908A1"/>
        </w:tc>
        <w:tc>
          <w:tcPr>
            <w:tcW w:w="1276" w:type="dxa"/>
            <w:vAlign w:val="center"/>
          </w:tcPr>
          <w:p w:rsidR="00272256" w:rsidRPr="00E336F0" w:rsidRDefault="00272256" w:rsidP="005908A1"/>
        </w:tc>
        <w:tc>
          <w:tcPr>
            <w:tcW w:w="1276" w:type="dxa"/>
            <w:vAlign w:val="center"/>
          </w:tcPr>
          <w:p w:rsidR="00272256" w:rsidRPr="00E336F0" w:rsidRDefault="00272256" w:rsidP="005908A1"/>
        </w:tc>
        <w:tc>
          <w:tcPr>
            <w:tcW w:w="1701" w:type="dxa"/>
            <w:vAlign w:val="center"/>
          </w:tcPr>
          <w:p w:rsidR="00272256" w:rsidRPr="00E336F0" w:rsidRDefault="00272256" w:rsidP="005908A1"/>
        </w:tc>
      </w:tr>
      <w:tr w:rsidR="00272256" w:rsidRPr="00E336F0" w:rsidTr="005908A1">
        <w:tc>
          <w:tcPr>
            <w:tcW w:w="426" w:type="dxa"/>
            <w:vAlign w:val="center"/>
          </w:tcPr>
          <w:p w:rsidR="00272256" w:rsidRPr="00E336F0" w:rsidRDefault="00272256" w:rsidP="005908A1">
            <w:r w:rsidRPr="00E336F0">
              <w:t>2</w:t>
            </w:r>
          </w:p>
        </w:tc>
        <w:tc>
          <w:tcPr>
            <w:tcW w:w="3969" w:type="dxa"/>
            <w:vAlign w:val="center"/>
          </w:tcPr>
          <w:p w:rsidR="00272256" w:rsidRPr="00E336F0" w:rsidRDefault="00272256" w:rsidP="005908A1"/>
        </w:tc>
        <w:tc>
          <w:tcPr>
            <w:tcW w:w="708" w:type="dxa"/>
            <w:vAlign w:val="center"/>
          </w:tcPr>
          <w:p w:rsidR="00272256" w:rsidRPr="00E336F0" w:rsidRDefault="00272256" w:rsidP="005908A1"/>
        </w:tc>
        <w:tc>
          <w:tcPr>
            <w:tcW w:w="709" w:type="dxa"/>
            <w:vAlign w:val="center"/>
          </w:tcPr>
          <w:p w:rsidR="00272256" w:rsidRPr="00E336F0" w:rsidRDefault="00272256" w:rsidP="005908A1"/>
        </w:tc>
        <w:tc>
          <w:tcPr>
            <w:tcW w:w="1276" w:type="dxa"/>
            <w:vAlign w:val="center"/>
          </w:tcPr>
          <w:p w:rsidR="00272256" w:rsidRPr="00E336F0" w:rsidRDefault="00272256" w:rsidP="005908A1"/>
        </w:tc>
        <w:tc>
          <w:tcPr>
            <w:tcW w:w="1276" w:type="dxa"/>
            <w:vAlign w:val="center"/>
          </w:tcPr>
          <w:p w:rsidR="00272256" w:rsidRPr="00E336F0" w:rsidRDefault="00272256" w:rsidP="005908A1"/>
        </w:tc>
        <w:tc>
          <w:tcPr>
            <w:tcW w:w="1701" w:type="dxa"/>
            <w:vAlign w:val="center"/>
          </w:tcPr>
          <w:p w:rsidR="00272256" w:rsidRPr="00E336F0" w:rsidRDefault="00272256" w:rsidP="005908A1"/>
        </w:tc>
      </w:tr>
      <w:tr w:rsidR="00272256" w:rsidRPr="00E336F0" w:rsidTr="005908A1">
        <w:tc>
          <w:tcPr>
            <w:tcW w:w="426" w:type="dxa"/>
            <w:vAlign w:val="center"/>
          </w:tcPr>
          <w:p w:rsidR="00272256" w:rsidRPr="00E336F0" w:rsidRDefault="00272256" w:rsidP="005908A1">
            <w:r w:rsidRPr="00E336F0">
              <w:t>3</w:t>
            </w:r>
          </w:p>
        </w:tc>
        <w:tc>
          <w:tcPr>
            <w:tcW w:w="3969" w:type="dxa"/>
            <w:vAlign w:val="center"/>
          </w:tcPr>
          <w:p w:rsidR="00272256" w:rsidRPr="00E336F0" w:rsidRDefault="00272256" w:rsidP="005908A1"/>
        </w:tc>
        <w:tc>
          <w:tcPr>
            <w:tcW w:w="708" w:type="dxa"/>
            <w:vAlign w:val="center"/>
          </w:tcPr>
          <w:p w:rsidR="00272256" w:rsidRPr="00E336F0" w:rsidRDefault="00272256" w:rsidP="005908A1"/>
        </w:tc>
        <w:tc>
          <w:tcPr>
            <w:tcW w:w="709" w:type="dxa"/>
            <w:vAlign w:val="center"/>
          </w:tcPr>
          <w:p w:rsidR="00272256" w:rsidRPr="00E336F0" w:rsidRDefault="00272256" w:rsidP="005908A1"/>
        </w:tc>
        <w:tc>
          <w:tcPr>
            <w:tcW w:w="1276" w:type="dxa"/>
            <w:vAlign w:val="center"/>
          </w:tcPr>
          <w:p w:rsidR="00272256" w:rsidRPr="00E336F0" w:rsidRDefault="00272256" w:rsidP="005908A1"/>
        </w:tc>
        <w:tc>
          <w:tcPr>
            <w:tcW w:w="1276" w:type="dxa"/>
            <w:vAlign w:val="center"/>
          </w:tcPr>
          <w:p w:rsidR="00272256" w:rsidRPr="00E336F0" w:rsidRDefault="00272256" w:rsidP="005908A1"/>
        </w:tc>
        <w:tc>
          <w:tcPr>
            <w:tcW w:w="1701" w:type="dxa"/>
            <w:vAlign w:val="center"/>
          </w:tcPr>
          <w:p w:rsidR="00272256" w:rsidRPr="00E336F0" w:rsidRDefault="00272256" w:rsidP="005908A1"/>
        </w:tc>
      </w:tr>
    </w:tbl>
    <w:p w:rsidR="00272256" w:rsidRPr="00E336F0" w:rsidRDefault="00272256" w:rsidP="00272256">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72256" w:rsidRPr="00E336F0" w:rsidRDefault="00272256" w:rsidP="00272256">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72256" w:rsidRPr="00E336F0" w:rsidRDefault="00272256" w:rsidP="00272256">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72256" w:rsidRPr="00E336F0" w:rsidRDefault="00272256" w:rsidP="00272256">
      <w:pPr>
        <w:numPr>
          <w:ilvl w:val="1"/>
          <w:numId w:val="13"/>
        </w:numPr>
        <w:tabs>
          <w:tab w:val="left" w:pos="5760"/>
        </w:tabs>
        <w:jc w:val="both"/>
        <w:rPr>
          <w:lang w:val="ru-RU"/>
        </w:rPr>
      </w:pPr>
      <w:r w:rsidRPr="00E336F0">
        <w:rPr>
          <w:lang w:val="ru-RU"/>
        </w:rPr>
        <w:t>Місце виконання договору- м.Івано-Франківськ.</w:t>
      </w:r>
    </w:p>
    <w:p w:rsidR="00272256" w:rsidRPr="00E336F0" w:rsidRDefault="00272256" w:rsidP="00272256">
      <w:pPr>
        <w:tabs>
          <w:tab w:val="left" w:pos="5760"/>
        </w:tabs>
        <w:jc w:val="both"/>
        <w:rPr>
          <w:lang w:val="ru-RU"/>
        </w:rPr>
      </w:pPr>
    </w:p>
    <w:p w:rsidR="00272256" w:rsidRPr="00E336F0" w:rsidRDefault="00272256" w:rsidP="00272256">
      <w:pPr>
        <w:numPr>
          <w:ilvl w:val="0"/>
          <w:numId w:val="13"/>
        </w:numPr>
        <w:jc w:val="center"/>
        <w:rPr>
          <w:b/>
          <w:lang w:val="ru-RU"/>
        </w:rPr>
      </w:pPr>
      <w:r w:rsidRPr="00E336F0">
        <w:rPr>
          <w:b/>
          <w:lang w:val="ru-RU"/>
        </w:rPr>
        <w:t>СУМА ДОГОВОРУ</w:t>
      </w:r>
    </w:p>
    <w:p w:rsidR="00272256" w:rsidRPr="00E336F0" w:rsidRDefault="00272256" w:rsidP="00272256">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72256" w:rsidRDefault="00272256" w:rsidP="00272256">
      <w:pPr>
        <w:numPr>
          <w:ilvl w:val="1"/>
          <w:numId w:val="13"/>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272256" w:rsidRPr="00E336F0" w:rsidRDefault="00272256" w:rsidP="00272256">
      <w:pPr>
        <w:tabs>
          <w:tab w:val="left" w:pos="5760"/>
        </w:tabs>
        <w:jc w:val="both"/>
        <w:rPr>
          <w:lang w:val="ru-RU"/>
        </w:rPr>
      </w:pPr>
    </w:p>
    <w:p w:rsidR="00272256" w:rsidRPr="00E336F0" w:rsidRDefault="00272256" w:rsidP="00272256">
      <w:pPr>
        <w:numPr>
          <w:ilvl w:val="0"/>
          <w:numId w:val="13"/>
        </w:numPr>
        <w:jc w:val="center"/>
        <w:rPr>
          <w:b/>
          <w:lang w:val="ru-RU"/>
        </w:rPr>
      </w:pPr>
      <w:r w:rsidRPr="00E336F0">
        <w:rPr>
          <w:b/>
          <w:lang w:val="ru-RU"/>
        </w:rPr>
        <w:t>ЦІНА ТОВАРУ</w:t>
      </w:r>
    </w:p>
    <w:p w:rsidR="00272256" w:rsidRPr="00E336F0" w:rsidRDefault="00272256" w:rsidP="00272256">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72256" w:rsidRPr="00E336F0" w:rsidRDefault="00272256" w:rsidP="00272256">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72256" w:rsidRPr="00E336F0" w:rsidRDefault="00272256" w:rsidP="00272256">
      <w:pPr>
        <w:rPr>
          <w:b/>
          <w:lang w:val="ru-RU"/>
        </w:rPr>
      </w:pPr>
    </w:p>
    <w:p w:rsidR="00272256" w:rsidRPr="00E336F0" w:rsidRDefault="00272256" w:rsidP="00272256">
      <w:pPr>
        <w:numPr>
          <w:ilvl w:val="0"/>
          <w:numId w:val="13"/>
        </w:numPr>
        <w:jc w:val="center"/>
        <w:rPr>
          <w:b/>
          <w:lang w:val="ru-RU"/>
        </w:rPr>
      </w:pPr>
      <w:r w:rsidRPr="00E336F0">
        <w:rPr>
          <w:b/>
          <w:lang w:val="ru-RU"/>
        </w:rPr>
        <w:t>УМОВИ РОЗРАХУНКУ</w:t>
      </w:r>
    </w:p>
    <w:p w:rsidR="00272256" w:rsidRPr="00E336F0" w:rsidRDefault="00272256" w:rsidP="00272256">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272256">
        <w:rPr>
          <w:b/>
        </w:rPr>
        <w:t>5</w:t>
      </w:r>
      <w:r w:rsidRPr="00E336F0">
        <w:rPr>
          <w:b/>
        </w:rPr>
        <w:t xml:space="preserve"> робочих днів</w:t>
      </w:r>
      <w:r w:rsidRPr="00E336F0">
        <w:rPr>
          <w:lang w:val="ru-RU"/>
        </w:rPr>
        <w:t xml:space="preserve"> з моменту поставки товарів. </w:t>
      </w:r>
    </w:p>
    <w:p w:rsidR="00272256" w:rsidRPr="00E336F0" w:rsidRDefault="00272256" w:rsidP="00272256">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72256" w:rsidRPr="00E336F0" w:rsidRDefault="00272256" w:rsidP="00272256">
      <w:pPr>
        <w:rPr>
          <w:bCs/>
          <w:lang w:val="ru-RU"/>
        </w:rPr>
      </w:pPr>
    </w:p>
    <w:p w:rsidR="00272256" w:rsidRPr="00E336F0" w:rsidRDefault="00272256" w:rsidP="00272256">
      <w:pPr>
        <w:numPr>
          <w:ilvl w:val="0"/>
          <w:numId w:val="13"/>
        </w:numPr>
        <w:jc w:val="center"/>
        <w:rPr>
          <w:bCs/>
          <w:lang w:val="ru-RU"/>
        </w:rPr>
      </w:pPr>
      <w:r w:rsidRPr="00E336F0">
        <w:rPr>
          <w:b/>
        </w:rPr>
        <w:t>ПОСТАВКА ТОВАРУ</w:t>
      </w:r>
    </w:p>
    <w:p w:rsidR="00272256" w:rsidRPr="00E336F0" w:rsidRDefault="00272256" w:rsidP="00272256">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272256" w:rsidRPr="00E336F0" w:rsidRDefault="00272256" w:rsidP="00272256">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72256" w:rsidRPr="00E336F0" w:rsidRDefault="00272256" w:rsidP="00272256">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72256" w:rsidRPr="00E336F0" w:rsidRDefault="00272256" w:rsidP="00272256">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72256" w:rsidRPr="00E336F0" w:rsidRDefault="00272256" w:rsidP="00272256">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72256" w:rsidRPr="00E336F0" w:rsidRDefault="00272256" w:rsidP="00272256">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272256" w:rsidRPr="00E336F0" w:rsidRDefault="00272256" w:rsidP="00272256">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272256" w:rsidRPr="00E336F0" w:rsidRDefault="00272256" w:rsidP="00272256">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272256" w:rsidRPr="00E336F0" w:rsidRDefault="00272256" w:rsidP="00272256">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72256" w:rsidRPr="00E336F0" w:rsidRDefault="00272256" w:rsidP="00272256">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72256" w:rsidRPr="00E336F0" w:rsidRDefault="00272256" w:rsidP="00272256">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72256" w:rsidRPr="00E336F0" w:rsidRDefault="00272256" w:rsidP="00272256">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72256" w:rsidRPr="00E336F0" w:rsidRDefault="00272256" w:rsidP="00272256">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72256" w:rsidRPr="00E336F0" w:rsidRDefault="00272256" w:rsidP="00272256">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lang w:val="ru-RU"/>
        </w:rPr>
      </w:pPr>
      <w:r w:rsidRPr="00E336F0">
        <w:rPr>
          <w:b/>
          <w:lang w:val="ru-RU"/>
        </w:rPr>
        <w:t>ЯКІСТЬ ТОВАРУ</w:t>
      </w:r>
    </w:p>
    <w:p w:rsidR="00272256" w:rsidRPr="00E336F0" w:rsidRDefault="00272256" w:rsidP="00272256">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72256" w:rsidRPr="00E336F0" w:rsidRDefault="00272256" w:rsidP="00272256">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72256" w:rsidRPr="00E336F0" w:rsidRDefault="00272256" w:rsidP="00272256">
      <w:pPr>
        <w:numPr>
          <w:ilvl w:val="1"/>
          <w:numId w:val="13"/>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D65185">
        <w:rPr>
          <w:b/>
          <w:lang w:val="en-US"/>
        </w:rPr>
        <w:t>________</w:t>
      </w:r>
      <w:r w:rsidRPr="00D65185">
        <w:rPr>
          <w:b/>
        </w:rPr>
        <w:t xml:space="preserve"> календарних днів</w:t>
      </w:r>
      <w:r w:rsidRPr="00E336F0">
        <w:t xml:space="preserve"> з моменту письмового звернення (повідомлення) Покупця.</w:t>
      </w:r>
    </w:p>
    <w:p w:rsidR="00272256" w:rsidRPr="00E336F0" w:rsidRDefault="00272256" w:rsidP="00272256">
      <w:pPr>
        <w:numPr>
          <w:ilvl w:val="1"/>
          <w:numId w:val="13"/>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D65185">
        <w:rPr>
          <w:b/>
          <w:lang w:val="en-US"/>
        </w:rPr>
        <w:t>_____</w:t>
      </w:r>
      <w:r w:rsidRPr="00D65185">
        <w:rPr>
          <w:b/>
        </w:rPr>
        <w:t xml:space="preserve"> календарних днів</w:t>
      </w:r>
      <w:r w:rsidRPr="00E336F0">
        <w:t xml:space="preserve"> з моменту письмового звернення (повідомлення) Покупця.</w:t>
      </w:r>
    </w:p>
    <w:p w:rsidR="00272256" w:rsidRPr="00E336F0" w:rsidRDefault="00272256" w:rsidP="0027225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72256" w:rsidRPr="00E336F0" w:rsidRDefault="00272256" w:rsidP="0027225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72256" w:rsidRPr="00E336F0" w:rsidRDefault="00272256" w:rsidP="00272256">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72256" w:rsidRPr="00E336F0" w:rsidRDefault="00272256" w:rsidP="00272256">
      <w:pPr>
        <w:suppressLineNumbers/>
        <w:jc w:val="both"/>
      </w:pPr>
    </w:p>
    <w:p w:rsidR="00272256" w:rsidRPr="00E336F0" w:rsidRDefault="00272256" w:rsidP="00272256">
      <w:pPr>
        <w:numPr>
          <w:ilvl w:val="0"/>
          <w:numId w:val="13"/>
        </w:numPr>
        <w:jc w:val="center"/>
        <w:rPr>
          <w:b/>
        </w:rPr>
      </w:pPr>
      <w:r w:rsidRPr="00E336F0">
        <w:rPr>
          <w:b/>
        </w:rPr>
        <w:t>ПРАВА ТА ОБОВ'ЯЗКИ СТОРІН</w:t>
      </w:r>
    </w:p>
    <w:p w:rsidR="00272256" w:rsidRPr="00E336F0" w:rsidRDefault="00272256" w:rsidP="00272256">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72256" w:rsidRPr="00E336F0" w:rsidRDefault="00272256" w:rsidP="00272256">
      <w:pPr>
        <w:numPr>
          <w:ilvl w:val="1"/>
          <w:numId w:val="13"/>
        </w:numPr>
        <w:tabs>
          <w:tab w:val="left" w:pos="284"/>
          <w:tab w:val="left" w:pos="5760"/>
        </w:tabs>
        <w:jc w:val="both"/>
        <w:rPr>
          <w:bCs/>
          <w:lang w:val="ru-RU"/>
        </w:rPr>
      </w:pPr>
      <w:r w:rsidRPr="00E336F0">
        <w:rPr>
          <w:bCs/>
          <w:lang w:val="ru-RU"/>
        </w:rPr>
        <w:t xml:space="preserve"> Покупець має право:</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72256" w:rsidRPr="00E336F0" w:rsidRDefault="00272256" w:rsidP="00272256">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72256" w:rsidRPr="00E336F0" w:rsidRDefault="00272256" w:rsidP="00272256">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72256" w:rsidRPr="00E336F0" w:rsidRDefault="00272256" w:rsidP="00272256">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72256" w:rsidRPr="00E336F0" w:rsidRDefault="00272256" w:rsidP="00272256">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72256" w:rsidRPr="00E336F0" w:rsidRDefault="00272256" w:rsidP="00272256">
      <w:pPr>
        <w:tabs>
          <w:tab w:val="left" w:pos="0"/>
          <w:tab w:val="left" w:pos="5760"/>
        </w:tabs>
        <w:jc w:val="both"/>
        <w:rPr>
          <w:b/>
          <w:color w:val="C0C0C0"/>
          <w:lang w:val="ru-RU"/>
        </w:rPr>
      </w:pPr>
      <w:r w:rsidRPr="00E336F0">
        <w:rPr>
          <w:b/>
          <w:color w:val="C0C0C0"/>
          <w:lang w:val="ru-RU"/>
        </w:rPr>
        <w:t xml:space="preserve">                                              </w:t>
      </w:r>
    </w:p>
    <w:p w:rsidR="00272256" w:rsidRPr="00E336F0" w:rsidRDefault="00272256" w:rsidP="00272256">
      <w:pPr>
        <w:numPr>
          <w:ilvl w:val="0"/>
          <w:numId w:val="13"/>
        </w:numPr>
        <w:jc w:val="center"/>
        <w:rPr>
          <w:b/>
        </w:rPr>
      </w:pPr>
      <w:r w:rsidRPr="00E336F0">
        <w:rPr>
          <w:b/>
        </w:rPr>
        <w:t>ВІДПОВІДАЛЬНІСТЬ СТОРІН</w:t>
      </w:r>
    </w:p>
    <w:p w:rsidR="00272256" w:rsidRPr="00E336F0" w:rsidRDefault="00272256" w:rsidP="00272256">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72256" w:rsidRPr="00E336F0" w:rsidRDefault="00272256" w:rsidP="00272256">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72256" w:rsidRPr="00E336F0" w:rsidRDefault="00272256" w:rsidP="00272256">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72256" w:rsidRPr="00E336F0" w:rsidRDefault="00272256" w:rsidP="00272256">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72256" w:rsidRPr="00E336F0" w:rsidRDefault="00272256" w:rsidP="00272256">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72256" w:rsidRPr="00E336F0" w:rsidRDefault="00272256" w:rsidP="00272256">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72256" w:rsidRPr="00E336F0" w:rsidRDefault="00272256" w:rsidP="00272256">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72256" w:rsidRPr="00E336F0" w:rsidRDefault="00272256" w:rsidP="00272256">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72256" w:rsidRPr="00E336F0" w:rsidRDefault="00272256" w:rsidP="00272256">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72256" w:rsidRPr="00E336F0" w:rsidRDefault="00272256" w:rsidP="00272256">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272256" w:rsidRPr="00E336F0" w:rsidRDefault="00272256" w:rsidP="00272256">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72256" w:rsidRPr="00E336F0" w:rsidRDefault="00272256" w:rsidP="00272256">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72256" w:rsidRPr="00E336F0" w:rsidRDefault="00272256" w:rsidP="00272256">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72256" w:rsidRPr="00E336F0" w:rsidRDefault="00272256" w:rsidP="00272256">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rPr>
      </w:pPr>
      <w:r w:rsidRPr="00E336F0">
        <w:rPr>
          <w:b/>
        </w:rPr>
        <w:t>ОБСТАВИНИ НЕПЕРЕБОРНОЇ СИЛИ</w:t>
      </w:r>
    </w:p>
    <w:p w:rsidR="00272256" w:rsidRPr="00E336F0" w:rsidRDefault="00272256" w:rsidP="00272256">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272256" w:rsidRPr="00E336F0" w:rsidRDefault="00272256" w:rsidP="00272256">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72256" w:rsidRPr="00E336F0" w:rsidRDefault="00272256" w:rsidP="00272256">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72256" w:rsidRPr="00E336F0" w:rsidRDefault="00272256" w:rsidP="00272256">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rPr>
      </w:pPr>
      <w:r w:rsidRPr="00E336F0">
        <w:rPr>
          <w:b/>
        </w:rPr>
        <w:t>ПОРЯДОК ВНЕСЕННЯ ЗМІН ДО ДОГОВОРУ</w:t>
      </w:r>
    </w:p>
    <w:p w:rsidR="00272256" w:rsidRPr="00E336F0" w:rsidRDefault="00272256" w:rsidP="00272256">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72256" w:rsidRPr="00E336F0" w:rsidRDefault="00272256" w:rsidP="00272256">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72256" w:rsidRPr="00E336F0" w:rsidRDefault="00272256" w:rsidP="00272256">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72256" w:rsidRPr="00E336F0" w:rsidRDefault="00272256" w:rsidP="00272256">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72256" w:rsidRPr="00E336F0" w:rsidRDefault="00272256" w:rsidP="0027225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72256" w:rsidRPr="00E336F0" w:rsidRDefault="00272256" w:rsidP="0027225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72256" w:rsidRPr="00E336F0" w:rsidRDefault="00272256" w:rsidP="00272256">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72256" w:rsidRPr="00E336F0" w:rsidRDefault="00272256" w:rsidP="0027225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72256" w:rsidRPr="00E336F0" w:rsidRDefault="00272256" w:rsidP="00272256">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72256" w:rsidRPr="00E336F0" w:rsidRDefault="00272256" w:rsidP="0027225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72256" w:rsidRPr="00E336F0" w:rsidRDefault="00272256" w:rsidP="0027225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72256" w:rsidRPr="00E336F0" w:rsidRDefault="00272256" w:rsidP="00272256">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2256" w:rsidRPr="00E336F0" w:rsidRDefault="00272256" w:rsidP="00272256">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72256" w:rsidRPr="00E336F0" w:rsidRDefault="00272256" w:rsidP="0027225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72256" w:rsidRPr="00E336F0" w:rsidRDefault="00272256" w:rsidP="00272256">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2256" w:rsidRPr="00E336F0" w:rsidRDefault="00272256" w:rsidP="00272256">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2256" w:rsidRPr="00E336F0" w:rsidRDefault="00272256" w:rsidP="0027225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72256" w:rsidRPr="00E336F0" w:rsidRDefault="00272256" w:rsidP="0027225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72256" w:rsidRPr="00E336F0" w:rsidRDefault="00272256" w:rsidP="00272256">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72256" w:rsidRPr="00E336F0" w:rsidRDefault="00272256" w:rsidP="00272256">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rPr>
      </w:pPr>
      <w:r w:rsidRPr="00E336F0">
        <w:rPr>
          <w:b/>
        </w:rPr>
        <w:t>ВИРІШЕННЯ СПОРІВ</w:t>
      </w:r>
    </w:p>
    <w:p w:rsidR="00272256" w:rsidRPr="00E336F0" w:rsidRDefault="00272256" w:rsidP="00272256">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72256" w:rsidRPr="00E336F0" w:rsidRDefault="00272256" w:rsidP="00272256">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72256" w:rsidRPr="00E336F0" w:rsidRDefault="00272256" w:rsidP="00272256">
      <w:pPr>
        <w:tabs>
          <w:tab w:val="left" w:pos="5760"/>
        </w:tabs>
        <w:jc w:val="both"/>
        <w:rPr>
          <w:b/>
        </w:rPr>
      </w:pPr>
    </w:p>
    <w:p w:rsidR="00272256" w:rsidRPr="00E336F0" w:rsidRDefault="00272256" w:rsidP="00272256">
      <w:pPr>
        <w:numPr>
          <w:ilvl w:val="0"/>
          <w:numId w:val="13"/>
        </w:numPr>
        <w:jc w:val="center"/>
        <w:rPr>
          <w:b/>
        </w:rPr>
      </w:pPr>
      <w:r w:rsidRPr="00E336F0">
        <w:rPr>
          <w:b/>
        </w:rPr>
        <w:t>СТРОК ДІЇ ДОГОВОРУ</w:t>
      </w:r>
    </w:p>
    <w:p w:rsidR="00272256" w:rsidRPr="00DA57E4" w:rsidRDefault="00272256" w:rsidP="00272256">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272256" w:rsidRPr="00E336F0" w:rsidRDefault="00272256" w:rsidP="00272256">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272256" w:rsidRPr="00E336F0" w:rsidRDefault="00272256" w:rsidP="00272256">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rPr>
      </w:pPr>
      <w:r w:rsidRPr="00E336F0">
        <w:rPr>
          <w:b/>
        </w:rPr>
        <w:t>ІНШІ УМОВИ</w:t>
      </w:r>
    </w:p>
    <w:p w:rsidR="00272256" w:rsidRPr="00E336F0" w:rsidRDefault="00272256" w:rsidP="00272256">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72256" w:rsidRPr="00E336F0" w:rsidRDefault="00272256" w:rsidP="00272256">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272256" w:rsidRPr="00E336F0" w:rsidRDefault="00272256" w:rsidP="00272256">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272256" w:rsidRPr="00E336F0" w:rsidRDefault="00272256" w:rsidP="00272256">
      <w:pPr>
        <w:tabs>
          <w:tab w:val="left" w:pos="5760"/>
        </w:tabs>
        <w:jc w:val="both"/>
        <w:rPr>
          <w:bCs/>
          <w:lang w:val="ru-RU"/>
        </w:rPr>
      </w:pPr>
    </w:p>
    <w:p w:rsidR="00272256" w:rsidRPr="00E336F0" w:rsidRDefault="00272256" w:rsidP="00272256">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72256" w:rsidRPr="00E336F0" w:rsidTr="005908A1">
        <w:trPr>
          <w:trHeight w:val="4407"/>
        </w:trPr>
        <w:tc>
          <w:tcPr>
            <w:tcW w:w="5495" w:type="dxa"/>
          </w:tcPr>
          <w:p w:rsidR="00272256" w:rsidRPr="00E336F0" w:rsidRDefault="00272256" w:rsidP="005908A1">
            <w:pPr>
              <w:rPr>
                <w:b/>
                <w:lang w:val="ru-RU"/>
              </w:rPr>
            </w:pPr>
            <w:r w:rsidRPr="00E336F0">
              <w:rPr>
                <w:b/>
                <w:lang w:val="ru-RU"/>
              </w:rPr>
              <w:t>Постачальник:</w:t>
            </w:r>
          </w:p>
          <w:p w:rsidR="00272256" w:rsidRPr="00E336F0" w:rsidRDefault="00272256" w:rsidP="005908A1">
            <w:pPr>
              <w:rPr>
                <w:b/>
                <w:lang w:val="ru-RU"/>
              </w:rPr>
            </w:pPr>
            <w:r w:rsidRPr="00E336F0">
              <w:rPr>
                <w:b/>
                <w:lang w:val="ru-RU"/>
              </w:rPr>
              <w:t>____________________________</w:t>
            </w:r>
          </w:p>
          <w:p w:rsidR="00272256" w:rsidRPr="00E336F0" w:rsidRDefault="00272256" w:rsidP="005908A1">
            <w:pPr>
              <w:rPr>
                <w:b/>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r w:rsidRPr="00E336F0">
              <w:rPr>
                <w:b/>
                <w:lang w:val="ru-RU"/>
              </w:rPr>
              <w:t>____________________________</w:t>
            </w:r>
          </w:p>
          <w:p w:rsidR="00272256" w:rsidRPr="00E336F0" w:rsidRDefault="00272256" w:rsidP="005908A1">
            <w:pPr>
              <w:rPr>
                <w:lang w:val="ru-RU"/>
              </w:rPr>
            </w:pPr>
          </w:p>
          <w:p w:rsidR="00272256" w:rsidRPr="00E336F0" w:rsidRDefault="00272256" w:rsidP="005908A1">
            <w:pPr>
              <w:rPr>
                <w:b/>
                <w:lang w:val="ru-RU"/>
              </w:rPr>
            </w:pPr>
            <w:r w:rsidRPr="00E336F0">
              <w:rPr>
                <w:b/>
                <w:lang w:val="ru-RU"/>
              </w:rPr>
              <w:t>Директор</w:t>
            </w:r>
          </w:p>
          <w:p w:rsidR="00272256" w:rsidRPr="00E336F0" w:rsidRDefault="00272256" w:rsidP="005908A1">
            <w:pPr>
              <w:rPr>
                <w:lang w:val="ru-RU"/>
              </w:rPr>
            </w:pPr>
          </w:p>
          <w:p w:rsidR="00272256" w:rsidRPr="00E336F0" w:rsidRDefault="00272256" w:rsidP="005908A1">
            <w:pPr>
              <w:rPr>
                <w:lang w:val="ru-RU"/>
              </w:rPr>
            </w:pPr>
          </w:p>
          <w:p w:rsidR="00272256" w:rsidRPr="00E336F0" w:rsidRDefault="00272256" w:rsidP="005908A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72256" w:rsidRPr="00E336F0" w:rsidRDefault="00272256" w:rsidP="005908A1">
            <w:pPr>
              <w:rPr>
                <w:b/>
              </w:rPr>
            </w:pPr>
            <w:r w:rsidRPr="00E336F0">
              <w:rPr>
                <w:b/>
                <w:lang w:val="ru-RU"/>
              </w:rPr>
              <w:t>М.П.</w:t>
            </w:r>
          </w:p>
        </w:tc>
        <w:tc>
          <w:tcPr>
            <w:tcW w:w="4693" w:type="dxa"/>
          </w:tcPr>
          <w:p w:rsidR="00272256" w:rsidRPr="00E336F0" w:rsidRDefault="00272256" w:rsidP="005908A1">
            <w:pPr>
              <w:rPr>
                <w:b/>
                <w:lang w:val="ru-RU"/>
              </w:rPr>
            </w:pPr>
            <w:r w:rsidRPr="00E336F0">
              <w:rPr>
                <w:b/>
                <w:lang w:val="ru-RU"/>
              </w:rPr>
              <w:t>Покупець:</w:t>
            </w:r>
          </w:p>
          <w:p w:rsidR="00272256" w:rsidRPr="00E336F0" w:rsidRDefault="00272256" w:rsidP="005908A1">
            <w:pPr>
              <w:rPr>
                <w:b/>
                <w:bCs/>
                <w:lang w:val="ru-RU"/>
              </w:rPr>
            </w:pPr>
            <w:r w:rsidRPr="00E336F0">
              <w:rPr>
                <w:b/>
                <w:bCs/>
                <w:lang w:val="ru-RU"/>
              </w:rPr>
              <w:t>АТ «Прикарпаттяобленерго»</w:t>
            </w:r>
          </w:p>
          <w:p w:rsidR="00272256" w:rsidRPr="00E336F0" w:rsidRDefault="00272256" w:rsidP="005908A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72256" w:rsidRPr="00E336F0" w:rsidRDefault="00272256" w:rsidP="005908A1">
            <w:pPr>
              <w:rPr>
                <w:lang w:val="ru-RU"/>
              </w:rPr>
            </w:pPr>
            <w:r w:rsidRPr="00E336F0">
              <w:rPr>
                <w:lang w:val="ru-RU"/>
              </w:rPr>
              <w:t>вул. Індустріальна, 34</w:t>
            </w:r>
          </w:p>
          <w:p w:rsidR="00272256" w:rsidRPr="00E336F0" w:rsidRDefault="00272256" w:rsidP="005908A1">
            <w:pPr>
              <w:rPr>
                <w:lang w:val="ru-RU"/>
              </w:rPr>
            </w:pPr>
            <w:r w:rsidRPr="00E336F0">
              <w:rPr>
                <w:lang w:val="ru-RU"/>
              </w:rPr>
              <w:t>IBAN UA023365030000026001300018152</w:t>
            </w:r>
          </w:p>
          <w:p w:rsidR="00272256" w:rsidRPr="00E336F0" w:rsidRDefault="00272256" w:rsidP="005908A1">
            <w:pPr>
              <w:rPr>
                <w:lang w:val="ru-RU"/>
              </w:rPr>
            </w:pPr>
            <w:r w:rsidRPr="00E336F0">
              <w:rPr>
                <w:lang w:val="ru-RU"/>
              </w:rPr>
              <w:t xml:space="preserve">в ТВБВ 10008/0143 м.Івано-Франківська </w:t>
            </w:r>
          </w:p>
          <w:p w:rsidR="00272256" w:rsidRPr="00E336F0" w:rsidRDefault="00272256" w:rsidP="005908A1">
            <w:pPr>
              <w:rPr>
                <w:lang w:val="ru-RU"/>
              </w:rPr>
            </w:pPr>
            <w:r w:rsidRPr="00E336F0">
              <w:rPr>
                <w:lang w:val="ru-RU"/>
              </w:rPr>
              <w:t xml:space="preserve">Філії Івано-Франківське </w:t>
            </w:r>
          </w:p>
          <w:p w:rsidR="00272256" w:rsidRPr="00E336F0" w:rsidRDefault="00272256" w:rsidP="005908A1">
            <w:pPr>
              <w:rPr>
                <w:lang w:val="ru-RU"/>
              </w:rPr>
            </w:pPr>
            <w:r w:rsidRPr="00E336F0">
              <w:rPr>
                <w:lang w:val="ru-RU"/>
              </w:rPr>
              <w:t>обласне управління АТ "Ощадбанк"</w:t>
            </w:r>
          </w:p>
          <w:p w:rsidR="00272256" w:rsidRPr="00E336F0" w:rsidRDefault="00272256" w:rsidP="005908A1">
            <w:pPr>
              <w:rPr>
                <w:lang w:val="ru-RU"/>
              </w:rPr>
            </w:pPr>
            <w:r w:rsidRPr="00E336F0">
              <w:rPr>
                <w:lang w:val="ru-RU"/>
              </w:rPr>
              <w:t>ЄДРПОУ 00131564</w:t>
            </w:r>
          </w:p>
          <w:p w:rsidR="00272256" w:rsidRPr="00E336F0" w:rsidRDefault="00272256" w:rsidP="005908A1">
            <w:pPr>
              <w:rPr>
                <w:lang w:val="ru-RU"/>
              </w:rPr>
            </w:pPr>
            <w:r w:rsidRPr="00E336F0">
              <w:rPr>
                <w:lang w:val="ru-RU"/>
              </w:rPr>
              <w:t>ІПН 001315609158</w:t>
            </w:r>
          </w:p>
          <w:p w:rsidR="00272256" w:rsidRPr="00E336F0" w:rsidRDefault="00272256" w:rsidP="005908A1">
            <w:pPr>
              <w:rPr>
                <w:lang w:val="ru-RU"/>
              </w:rPr>
            </w:pPr>
          </w:p>
          <w:p w:rsidR="00272256" w:rsidRPr="00E336F0" w:rsidRDefault="00272256" w:rsidP="005908A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72256" w:rsidRPr="00E336F0" w:rsidRDefault="00272256" w:rsidP="005908A1">
            <w:pPr>
              <w:rPr>
                <w:b/>
                <w:lang w:val="ru-RU"/>
              </w:rPr>
            </w:pPr>
          </w:p>
          <w:p w:rsidR="00272256" w:rsidRPr="00E336F0" w:rsidRDefault="00272256" w:rsidP="005908A1">
            <w:pPr>
              <w:rPr>
                <w:b/>
                <w:lang w:val="ru-RU"/>
              </w:rPr>
            </w:pPr>
          </w:p>
          <w:p w:rsidR="00272256" w:rsidRPr="00E336F0" w:rsidRDefault="00272256" w:rsidP="005908A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72256" w:rsidRPr="00E336F0" w:rsidRDefault="00272256" w:rsidP="005908A1">
            <w:pPr>
              <w:rPr>
                <w:b/>
                <w:lang w:val="en-US"/>
              </w:rPr>
            </w:pPr>
            <w:r w:rsidRPr="00E336F0">
              <w:rPr>
                <w:b/>
                <w:lang w:val="ru-RU"/>
              </w:rPr>
              <w:t>М.П.</w:t>
            </w:r>
          </w:p>
          <w:p w:rsidR="00272256" w:rsidRPr="00E336F0" w:rsidRDefault="00272256" w:rsidP="005908A1">
            <w:pPr>
              <w:rPr>
                <w:b/>
              </w:rPr>
            </w:pPr>
          </w:p>
        </w:tc>
      </w:tr>
    </w:tbl>
    <w:p w:rsidR="00272256" w:rsidRPr="00E336F0" w:rsidRDefault="00272256" w:rsidP="00272256">
      <w:pPr>
        <w:jc w:val="center"/>
        <w:rPr>
          <w:b/>
          <w:bCs/>
          <w:lang w:val="ru-RU"/>
        </w:rPr>
      </w:pPr>
    </w:p>
    <w:p w:rsidR="00272256" w:rsidRPr="00E336F0" w:rsidRDefault="00272256" w:rsidP="00272256"/>
    <w:p w:rsidR="00272256" w:rsidRPr="00E336F0" w:rsidRDefault="00272256" w:rsidP="00272256"/>
    <w:p w:rsidR="00272256" w:rsidRPr="00E336F0" w:rsidRDefault="00272256" w:rsidP="00B23F62">
      <w:pPr>
        <w:jc w:val="center"/>
        <w:rPr>
          <w:b/>
          <w:lang w:val="ru-RU"/>
        </w:rPr>
      </w:pPr>
    </w:p>
    <w:p w:rsidR="00B23F62" w:rsidRPr="00E336F0" w:rsidRDefault="00B23F62" w:rsidP="00B23F62">
      <w:pPr>
        <w:jc w:val="center"/>
        <w:rPr>
          <w:b/>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tbl>
      <w:tblPr>
        <w:tblW w:w="6928" w:type="dxa"/>
        <w:tblLook w:val="04A0" w:firstRow="1" w:lastRow="0" w:firstColumn="1" w:lastColumn="0" w:noHBand="0" w:noVBand="1"/>
      </w:tblPr>
      <w:tblGrid>
        <w:gridCol w:w="5710"/>
        <w:gridCol w:w="669"/>
        <w:gridCol w:w="549"/>
      </w:tblGrid>
      <w:tr w:rsidR="005C2955" w:rsidTr="005C2955">
        <w:trPr>
          <w:trHeight w:val="300"/>
        </w:trPr>
        <w:tc>
          <w:tcPr>
            <w:tcW w:w="571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lang w:eastAsia="uk-UA"/>
              </w:rPr>
            </w:pPr>
            <w:r>
              <w:rPr>
                <w:rFonts w:ascii="Arial" w:hAnsi="Arial" w:cs="Arial"/>
                <w:b/>
                <w:bCs/>
                <w:sz w:val="20"/>
                <w:szCs w:val="20"/>
              </w:rPr>
              <w:t>Предмет закупівлі</w:t>
            </w:r>
          </w:p>
        </w:tc>
        <w:tc>
          <w:tcPr>
            <w:tcW w:w="66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Од. вим.</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К-сть</w:t>
            </w:r>
          </w:p>
        </w:tc>
      </w:tr>
      <w:tr w:rsidR="005C2955" w:rsidTr="005C2955">
        <w:trPr>
          <w:trHeight w:val="300"/>
        </w:trPr>
        <w:tc>
          <w:tcPr>
            <w:tcW w:w="5710"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669"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549" w:type="dxa"/>
            <w:vMerge/>
            <w:tcBorders>
              <w:top w:val="single" w:sz="4" w:space="0" w:color="000000"/>
              <w:left w:val="single" w:sz="4" w:space="0" w:color="auto"/>
              <w:bottom w:val="single" w:sz="4" w:space="0" w:color="000000"/>
              <w:right w:val="single" w:sz="4" w:space="0" w:color="auto"/>
            </w:tcBorders>
            <w:vAlign w:val="center"/>
            <w:hideMark/>
          </w:tcPr>
          <w:p w:rsidR="005C2955" w:rsidRDefault="005C2955">
            <w:pPr>
              <w:rPr>
                <w:rFonts w:ascii="Arial" w:hAnsi="Arial" w:cs="Arial"/>
                <w:b/>
                <w:bCs/>
                <w:sz w:val="20"/>
                <w:szCs w:val="20"/>
              </w:rPr>
            </w:pPr>
          </w:p>
        </w:tc>
      </w:tr>
      <w:tr w:rsidR="00E92A4D" w:rsidTr="005C2955">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A4D" w:rsidRDefault="00E92A4D" w:rsidP="00E92A4D">
            <w:pPr>
              <w:rPr>
                <w:color w:val="000000"/>
                <w:lang w:eastAsia="uk-UA"/>
              </w:rPr>
            </w:pPr>
            <w:r>
              <w:rPr>
                <w:color w:val="000000"/>
              </w:rPr>
              <w:t>Контролер мультипортовий kron MP.4-RS485-03  або еквівалент</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E92A4D" w:rsidRDefault="00E92A4D" w:rsidP="00E92A4D">
            <w:pPr>
              <w:ind w:firstLineChars="100" w:firstLine="200"/>
              <w:rPr>
                <w:rFonts w:ascii="Arial" w:hAnsi="Arial" w:cs="Arial"/>
                <w:color w:val="000000"/>
                <w:sz w:val="20"/>
                <w:szCs w:val="20"/>
              </w:rPr>
            </w:pPr>
            <w:r>
              <w:rPr>
                <w:rFonts w:ascii="Arial" w:hAnsi="Arial" w:cs="Arial"/>
                <w:color w:val="000000"/>
                <w:sz w:val="20"/>
                <w:szCs w:val="20"/>
              </w:rPr>
              <w:t>шт</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E92A4D" w:rsidRDefault="00E92A4D" w:rsidP="00E92A4D">
            <w:pPr>
              <w:jc w:val="right"/>
              <w:rPr>
                <w:rFonts w:ascii="Arial" w:hAnsi="Arial" w:cs="Arial"/>
                <w:sz w:val="20"/>
                <w:szCs w:val="20"/>
              </w:rPr>
            </w:pPr>
            <w:r>
              <w:rPr>
                <w:rFonts w:ascii="Arial" w:hAnsi="Arial" w:cs="Arial"/>
                <w:sz w:val="20"/>
                <w:szCs w:val="20"/>
              </w:rPr>
              <w:t xml:space="preserve">10 </w:t>
            </w:r>
          </w:p>
        </w:tc>
      </w:tr>
    </w:tbl>
    <w:p w:rsidR="00272256" w:rsidRPr="00272256" w:rsidRDefault="00272256" w:rsidP="00272256">
      <w:pPr>
        <w:pStyle w:val="a3"/>
        <w:widowControl w:val="0"/>
        <w:numPr>
          <w:ilvl w:val="0"/>
          <w:numId w:val="48"/>
        </w:numPr>
        <w:autoSpaceDE w:val="0"/>
        <w:autoSpaceDN w:val="0"/>
        <w:ind w:left="1252"/>
        <w:jc w:val="left"/>
        <w:rPr>
          <w:b/>
          <w:sz w:val="24"/>
        </w:rPr>
      </w:pPr>
      <w:r w:rsidRPr="00272256">
        <w:rPr>
          <w:b/>
          <w:color w:val="000000"/>
          <w:sz w:val="24"/>
        </w:rPr>
        <w:t>Контролер мультипортовий kron MP.4-RS485-03</w:t>
      </w:r>
      <w:r>
        <w:rPr>
          <w:b/>
          <w:color w:val="000000"/>
          <w:sz w:val="24"/>
        </w:rPr>
        <w:t xml:space="preserve"> або еквівалент</w:t>
      </w:r>
      <w:bookmarkStart w:id="30" w:name="_GoBack"/>
      <w:bookmarkEnd w:id="30"/>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825"/>
      </w:tblGrid>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rsidR="00272256" w:rsidRPr="00D76A7B" w:rsidRDefault="00272256" w:rsidP="005908A1">
            <w:pPr>
              <w:jc w:val="center"/>
              <w:rPr>
                <w:b/>
              </w:rPr>
            </w:pPr>
            <w:r w:rsidRPr="00D76A7B">
              <w:rPr>
                <w:b/>
              </w:rPr>
              <w:t>Найменування параметрів</w:t>
            </w:r>
          </w:p>
        </w:tc>
        <w:tc>
          <w:tcPr>
            <w:tcW w:w="4825" w:type="dxa"/>
            <w:tcBorders>
              <w:top w:val="single" w:sz="4" w:space="0" w:color="auto"/>
              <w:left w:val="single" w:sz="4" w:space="0" w:color="auto"/>
              <w:bottom w:val="single" w:sz="4" w:space="0" w:color="auto"/>
              <w:right w:val="single" w:sz="4" w:space="0" w:color="auto"/>
            </w:tcBorders>
            <w:vAlign w:val="center"/>
            <w:hideMark/>
          </w:tcPr>
          <w:p w:rsidR="00272256" w:rsidRPr="00D76A7B" w:rsidRDefault="00272256" w:rsidP="005908A1">
            <w:pPr>
              <w:jc w:val="center"/>
              <w:rPr>
                <w:b/>
              </w:rPr>
            </w:pPr>
            <w:r w:rsidRPr="00D76A7B">
              <w:rPr>
                <w:b/>
              </w:rPr>
              <w:t>Значення параметрів</w:t>
            </w:r>
          </w:p>
        </w:tc>
      </w:tr>
      <w:tr w:rsidR="00272256" w:rsidRPr="001D0EE8" w:rsidTr="005908A1">
        <w:trPr>
          <w:trHeight w:val="20"/>
          <w:jc w:val="center"/>
        </w:trPr>
        <w:tc>
          <w:tcPr>
            <w:tcW w:w="8510" w:type="dxa"/>
            <w:gridSpan w:val="2"/>
            <w:tcBorders>
              <w:top w:val="single" w:sz="4" w:space="0" w:color="auto"/>
              <w:left w:val="single" w:sz="4" w:space="0" w:color="auto"/>
              <w:bottom w:val="single" w:sz="4" w:space="0" w:color="auto"/>
              <w:right w:val="single" w:sz="4" w:space="0" w:color="auto"/>
            </w:tcBorders>
            <w:vAlign w:val="center"/>
          </w:tcPr>
          <w:p w:rsidR="00272256" w:rsidRPr="001D0EE8" w:rsidRDefault="00272256" w:rsidP="005908A1">
            <w:pPr>
              <w:jc w:val="center"/>
              <w:rPr>
                <w:b/>
              </w:rPr>
            </w:pPr>
            <w:r w:rsidRPr="001764A0">
              <w:rPr>
                <w:b/>
                <w:bCs/>
              </w:rPr>
              <w:t xml:space="preserve">Контролер </w:t>
            </w:r>
            <w:r w:rsidRPr="001764A0">
              <w:rPr>
                <w:b/>
                <w:bCs/>
                <w:lang w:val="en-US"/>
              </w:rPr>
              <w:t>MP</w:t>
            </w:r>
            <w:r w:rsidRPr="001764A0">
              <w:rPr>
                <w:b/>
                <w:bCs/>
              </w:rPr>
              <w:t>. 4-</w:t>
            </w:r>
            <w:r w:rsidRPr="001764A0">
              <w:rPr>
                <w:b/>
                <w:bCs/>
                <w:lang w:val="en-US"/>
              </w:rPr>
              <w:t>RS485-03</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Процесор:</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Cirrus Logic EP9302-200МГц</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Оперативна пам'ять, не менше</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32 Мбайт</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Flash-пам'ять, не менше</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8 Мбайт</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Операційна система:</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Linux, ядро 2.6.8.1.</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Мережевий інтерфейс:</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 xml:space="preserve">100Base-TX (100 Мбіт/с, кручена пара) </w:t>
            </w:r>
          </w:p>
          <w:p w:rsidR="00272256" w:rsidRPr="00D76A7B" w:rsidRDefault="00272256" w:rsidP="005908A1">
            <w:r w:rsidRPr="00D76A7B">
              <w:t xml:space="preserve">або </w:t>
            </w:r>
          </w:p>
          <w:p w:rsidR="00272256" w:rsidRPr="00D76A7B" w:rsidRDefault="00272256" w:rsidP="005908A1">
            <w:r w:rsidRPr="00D76A7B">
              <w:t>1000Base-LX (1000 Мбіт/с</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Тип роз'єму:</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RJ45 (jack)</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Індикація:</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 xml:space="preserve">прийом-передача, </w:t>
            </w:r>
            <w:r>
              <w:t>наявність</w:t>
            </w:r>
            <w:r w:rsidRPr="00D76A7B">
              <w:t xml:space="preserve"> кабелю</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Годинник реального часу (RTC):</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енергонезалежний</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Сторожовий таймер:</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Watchdog</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Моніторинг напруги живлення:</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Так</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Комунікаційний послідовний інтерфейс контролера:</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тип інтерфейсу: RS-485;</w:t>
            </w:r>
          </w:p>
          <w:p w:rsidR="00272256" w:rsidRPr="00D76A7B" w:rsidRDefault="00272256" w:rsidP="005908A1">
            <w:r w:rsidRPr="00D76A7B">
              <w:t>схема підключення: 2-дротова + GND;</w:t>
            </w:r>
          </w:p>
          <w:p w:rsidR="00272256" w:rsidRPr="00D76A7B" w:rsidRDefault="00272256" w:rsidP="005908A1">
            <w:r w:rsidRPr="00D76A7B">
              <w:t xml:space="preserve">кількість каналів: </w:t>
            </w:r>
            <w:r>
              <w:t>4</w:t>
            </w:r>
            <w:r w:rsidRPr="00D76A7B">
              <w:t>;</w:t>
            </w:r>
          </w:p>
          <w:p w:rsidR="00272256" w:rsidRPr="00D76A7B" w:rsidRDefault="00272256" w:rsidP="005908A1">
            <w:r w:rsidRPr="00D76A7B">
              <w:t>тип роз'єму: RJ45 (jack);</w:t>
            </w:r>
          </w:p>
          <w:p w:rsidR="00272256" w:rsidRPr="00D76A7B" w:rsidRDefault="00272256" w:rsidP="005908A1">
            <w:r w:rsidRPr="00D76A7B">
              <w:t>ізоляція: гальванічна 1000В (для кожного каналу);</w:t>
            </w:r>
          </w:p>
          <w:p w:rsidR="00272256" w:rsidRPr="00D76A7B" w:rsidRDefault="00272256" w:rsidP="005908A1">
            <w:r w:rsidRPr="00D76A7B">
              <w:t>режими роботи: напівдуплексний, моніторинг;</w:t>
            </w:r>
          </w:p>
          <w:p w:rsidR="00272256" w:rsidRPr="00D76A7B" w:rsidRDefault="00272256" w:rsidP="005908A1">
            <w:r w:rsidRPr="00D76A7B">
              <w:t>управління напрямком «прийом-передача»: автоматичне;</w:t>
            </w:r>
          </w:p>
          <w:p w:rsidR="00272256" w:rsidRPr="00D76A7B" w:rsidRDefault="00272256" w:rsidP="005908A1">
            <w:r w:rsidRPr="00D76A7B">
              <w:t xml:space="preserve">швидкість: від 50 біт/с до </w:t>
            </w:r>
            <w:r>
              <w:t>115 200</w:t>
            </w:r>
            <w:r w:rsidRPr="00D76A7B">
              <w:t xml:space="preserve"> біт/c;</w:t>
            </w:r>
          </w:p>
          <w:p w:rsidR="00272256" w:rsidRPr="00D76A7B" w:rsidRDefault="00272256" w:rsidP="005908A1">
            <w:r w:rsidRPr="00D76A7B">
              <w:lastRenderedPageBreak/>
              <w:t>довжина слова, стоповий біт, контрольний біт: 7 або 8 біт, 1 або 2 біта, None / Even / Odd;</w:t>
            </w:r>
          </w:p>
          <w:p w:rsidR="00272256" w:rsidRPr="00D76A7B" w:rsidRDefault="00272256" w:rsidP="005908A1">
            <w:r w:rsidRPr="00D76A7B">
              <w:t>управління потоком: XON / XOFF;</w:t>
            </w:r>
          </w:p>
          <w:p w:rsidR="00272256" w:rsidRPr="00D76A7B" w:rsidRDefault="00272256" w:rsidP="005908A1">
            <w:r w:rsidRPr="00D76A7B">
              <w:t>індикація</w:t>
            </w:r>
            <w:r w:rsidRPr="00120310">
              <w:t>:</w:t>
            </w:r>
            <w:r w:rsidRPr="00D76A7B">
              <w:t xml:space="preserve"> прийом, передача по кожному порту.</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lastRenderedPageBreak/>
              <w:t>Модемний (консольний) порт COM1:</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тип інтерфейсу: RS-232;</w:t>
            </w:r>
          </w:p>
          <w:p w:rsidR="00272256" w:rsidRPr="00D76A7B" w:rsidRDefault="00272256" w:rsidP="005908A1">
            <w:r w:rsidRPr="00D76A7B">
              <w:t>сигнали: TxD, RxD, RTS, CTS, DTR, DSR, DCD, RI, GND;</w:t>
            </w:r>
          </w:p>
          <w:p w:rsidR="00272256" w:rsidRPr="00D76A7B" w:rsidRDefault="00272256" w:rsidP="005908A1">
            <w:r w:rsidRPr="00D76A7B">
              <w:t>тип роз'єму: DB-9M (вилка).</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Відстань до периферійних пристроїв. Тестування обміну даними здійснюється при роботі на кабель, який має такі Характеристики:</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тип кабелю: 24AWG (5 категорія), дві кручені пари;</w:t>
            </w:r>
          </w:p>
          <w:p w:rsidR="00272256" w:rsidRPr="00D76A7B" w:rsidRDefault="00272256" w:rsidP="005908A1">
            <w:r w:rsidRPr="00D76A7B">
              <w:t>активний опір 100 метрів однієї жили: 9 Ом;</w:t>
            </w:r>
          </w:p>
          <w:p w:rsidR="00272256" w:rsidRPr="00D76A7B" w:rsidRDefault="00272256" w:rsidP="005908A1">
            <w:r w:rsidRPr="00D76A7B">
              <w:t>ємність 100 метрів кручений пари: 0,005 мкФ;</w:t>
            </w:r>
          </w:p>
          <w:p w:rsidR="00272256" w:rsidRPr="00D76A7B" w:rsidRDefault="00272256" w:rsidP="005908A1">
            <w:r w:rsidRPr="00D76A7B">
              <w:t>хвильовий опір: 120 Ом.</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Режим низькорівневого тестування:</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Так</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Оновлення внутрішнього програмного забезпечення:</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Так</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Габаритні розміри (довжина х глибина х висота), не більше:</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t>273</w:t>
            </w:r>
            <w:r w:rsidRPr="00D76A7B">
              <w:t xml:space="preserve">мм x </w:t>
            </w:r>
            <w:r>
              <w:t>181</w:t>
            </w:r>
            <w:r w:rsidRPr="00D76A7B">
              <w:t xml:space="preserve">мм x </w:t>
            </w:r>
            <w:r>
              <w:t>42</w:t>
            </w:r>
            <w:r w:rsidRPr="00D76A7B">
              <w:t xml:space="preserve"> мм </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tcPr>
          <w:p w:rsidR="00272256" w:rsidRPr="00D76A7B" w:rsidRDefault="00272256" w:rsidP="005908A1"/>
        </w:tc>
        <w:tc>
          <w:tcPr>
            <w:tcW w:w="4825" w:type="dxa"/>
            <w:tcBorders>
              <w:top w:val="single" w:sz="4" w:space="0" w:color="auto"/>
              <w:left w:val="single" w:sz="4" w:space="0" w:color="auto"/>
              <w:bottom w:val="single" w:sz="4" w:space="0" w:color="auto"/>
              <w:right w:val="single" w:sz="4" w:space="0" w:color="auto"/>
            </w:tcBorders>
          </w:tcPr>
          <w:p w:rsidR="00272256" w:rsidRPr="00D76A7B" w:rsidRDefault="00272256" w:rsidP="005908A1"/>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Температурний діапазон роботи:</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-30 ... + 50ºC.</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Режим експлуатації:</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Цілодобовий</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Напруга живлення:</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 85..265B, 47..55 Гц.</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Споживана потужність контролера, не більше:</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t>6</w:t>
            </w:r>
            <w:r w:rsidRPr="00D76A7B">
              <w:t xml:space="preserve"> Вт.</w:t>
            </w:r>
          </w:p>
        </w:tc>
      </w:tr>
      <w:tr w:rsidR="00272256" w:rsidRPr="00D76A7B" w:rsidTr="005908A1">
        <w:trPr>
          <w:trHeight w:val="20"/>
          <w:jc w:val="center"/>
        </w:trPr>
        <w:tc>
          <w:tcPr>
            <w:tcW w:w="368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rsidRPr="00D76A7B">
              <w:t>Маса контролера, не більше</w:t>
            </w:r>
          </w:p>
        </w:tc>
        <w:tc>
          <w:tcPr>
            <w:tcW w:w="4825" w:type="dxa"/>
            <w:tcBorders>
              <w:top w:val="single" w:sz="4" w:space="0" w:color="auto"/>
              <w:left w:val="single" w:sz="4" w:space="0" w:color="auto"/>
              <w:bottom w:val="single" w:sz="4" w:space="0" w:color="auto"/>
              <w:right w:val="single" w:sz="4" w:space="0" w:color="auto"/>
            </w:tcBorders>
            <w:hideMark/>
          </w:tcPr>
          <w:p w:rsidR="00272256" w:rsidRPr="00D76A7B" w:rsidRDefault="00272256" w:rsidP="005908A1">
            <w:r>
              <w:t>2</w:t>
            </w:r>
            <w:r w:rsidRPr="00D76A7B">
              <w:t>,</w:t>
            </w:r>
            <w:r>
              <w:t>0</w:t>
            </w:r>
            <w:r w:rsidRPr="00D76A7B">
              <w:t xml:space="preserve"> кг.</w:t>
            </w:r>
          </w:p>
        </w:tc>
      </w:tr>
    </w:tbl>
    <w:p w:rsidR="00272256" w:rsidRPr="004F66CE" w:rsidRDefault="00272256" w:rsidP="00272256">
      <w:pPr>
        <w:pStyle w:val="a3"/>
        <w:ind w:firstLine="892"/>
      </w:pPr>
    </w:p>
    <w:p w:rsidR="00272256" w:rsidRPr="004F66CE" w:rsidRDefault="00272256" w:rsidP="00272256">
      <w:pPr>
        <w:pStyle w:val="a3"/>
      </w:pPr>
    </w:p>
    <w:p w:rsidR="00E92A4D" w:rsidRPr="004F66CE" w:rsidRDefault="00E92A4D" w:rsidP="00E92A4D">
      <w:pPr>
        <w:pStyle w:val="a3"/>
        <w:ind w:firstLine="892"/>
      </w:pPr>
    </w:p>
    <w:p w:rsidR="005C2955" w:rsidRDefault="005C2955" w:rsidP="005C2955">
      <w:pPr>
        <w:rPr>
          <w:b/>
          <w:bCs/>
        </w:rPr>
      </w:pPr>
    </w:p>
    <w:sectPr w:rsidR="005C2955"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C1" w:rsidRDefault="005479C1">
      <w:r>
        <w:separator/>
      </w:r>
    </w:p>
  </w:endnote>
  <w:endnote w:type="continuationSeparator" w:id="0">
    <w:p w:rsidR="005479C1" w:rsidRDefault="005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73" w:rsidRDefault="009B4C7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B4C73" w:rsidRDefault="009B4C7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73" w:rsidRDefault="009B4C7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2256">
      <w:rPr>
        <w:rStyle w:val="a9"/>
        <w:noProof/>
      </w:rPr>
      <w:t>46</w:t>
    </w:r>
    <w:r>
      <w:rPr>
        <w:rStyle w:val="a9"/>
      </w:rPr>
      <w:fldChar w:fldCharType="end"/>
    </w:r>
  </w:p>
  <w:p w:rsidR="009B4C73" w:rsidRDefault="009B4C73" w:rsidP="007A4B6C">
    <w:pPr>
      <w:pStyle w:val="a5"/>
      <w:framePr w:wrap="around" w:vAnchor="text" w:hAnchor="margin" w:xAlign="right" w:y="1"/>
      <w:jc w:val="center"/>
      <w:rPr>
        <w:rStyle w:val="a9"/>
      </w:rPr>
    </w:pPr>
  </w:p>
  <w:p w:rsidR="009B4C73" w:rsidRDefault="009B4C73" w:rsidP="009B0AC3">
    <w:pPr>
      <w:pStyle w:val="a5"/>
      <w:framePr w:wrap="around" w:vAnchor="text" w:hAnchor="margin" w:y="1"/>
      <w:ind w:right="360"/>
      <w:rPr>
        <w:rStyle w:val="a9"/>
      </w:rPr>
    </w:pPr>
  </w:p>
  <w:p w:rsidR="009B4C73" w:rsidRDefault="009B4C7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C1" w:rsidRDefault="005479C1">
      <w:r>
        <w:separator/>
      </w:r>
    </w:p>
  </w:footnote>
  <w:footnote w:type="continuationSeparator" w:id="0">
    <w:p w:rsidR="005479C1" w:rsidRDefault="0054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256"/>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9C1"/>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067AE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33A2-F3FD-424E-A75C-EB58EE48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84010</Words>
  <Characters>47886</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2023-02-16T14:03:00Z</dcterms:created>
  <dcterms:modified xsi:type="dcterms:W3CDTF">2023-02-16T14:03:00Z</dcterms:modified>
</cp:coreProperties>
</file>