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4F4298" w14:paraId="2979FE8E" w14:textId="77777777" w:rsidTr="00FC72A4">
        <w:trPr>
          <w:jc w:val="right"/>
        </w:trPr>
        <w:tc>
          <w:tcPr>
            <w:tcW w:w="5387" w:type="dxa"/>
          </w:tcPr>
          <w:p w14:paraId="372B1C66" w14:textId="77777777" w:rsidR="00FC72A4" w:rsidRPr="004F4298" w:rsidRDefault="00FC72A4" w:rsidP="00F66C65">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«Затверджено»</w:t>
            </w:r>
          </w:p>
          <w:p w14:paraId="0BED4B9A" w14:textId="1C4ED7E4" w:rsidR="00FC72A4" w:rsidRPr="004F4298" w:rsidRDefault="00802A04" w:rsidP="00A30786">
            <w:pPr>
              <w:snapToGrid w:val="0"/>
              <w:jc w:val="right"/>
              <w:rPr>
                <w:rFonts w:ascii="Times New Roman" w:hAnsi="Times New Roman" w:cs="Times New Roman"/>
                <w:b/>
                <w:bCs/>
                <w:color w:val="auto"/>
                <w:sz w:val="24"/>
                <w:szCs w:val="24"/>
                <w:lang w:eastAsia="ar-SA"/>
              </w:rPr>
            </w:pPr>
            <w:r w:rsidRPr="00A30786">
              <w:rPr>
                <w:rFonts w:ascii="Times New Roman" w:hAnsi="Times New Roman" w:cs="Times New Roman"/>
                <w:b/>
                <w:bCs/>
                <w:color w:val="auto"/>
                <w:sz w:val="24"/>
                <w:szCs w:val="24"/>
                <w:lang w:eastAsia="ar-SA"/>
              </w:rPr>
              <w:t xml:space="preserve">рішенням від </w:t>
            </w:r>
            <w:r w:rsidR="00A30786">
              <w:rPr>
                <w:rFonts w:ascii="Times New Roman" w:hAnsi="Times New Roman" w:cs="Times New Roman"/>
                <w:b/>
                <w:bCs/>
                <w:color w:val="auto"/>
                <w:sz w:val="24"/>
                <w:szCs w:val="24"/>
                <w:lang w:eastAsia="ar-SA"/>
              </w:rPr>
              <w:t>04</w:t>
            </w:r>
            <w:r w:rsidR="0014253A" w:rsidRPr="00A30786">
              <w:rPr>
                <w:rFonts w:ascii="Times New Roman" w:hAnsi="Times New Roman" w:cs="Times New Roman"/>
                <w:b/>
                <w:bCs/>
                <w:color w:val="auto"/>
                <w:sz w:val="24"/>
                <w:szCs w:val="24"/>
                <w:lang w:eastAsia="ar-SA"/>
              </w:rPr>
              <w:t xml:space="preserve"> </w:t>
            </w:r>
            <w:r w:rsidR="00A30786">
              <w:rPr>
                <w:rFonts w:ascii="Times New Roman" w:hAnsi="Times New Roman" w:cs="Times New Roman"/>
                <w:b/>
                <w:bCs/>
                <w:color w:val="auto"/>
                <w:sz w:val="24"/>
                <w:szCs w:val="24"/>
                <w:lang w:eastAsia="ar-SA"/>
              </w:rPr>
              <w:t>березня</w:t>
            </w:r>
            <w:r w:rsidR="00FC72A4" w:rsidRPr="00A30786">
              <w:rPr>
                <w:rFonts w:ascii="Times New Roman" w:hAnsi="Times New Roman" w:cs="Times New Roman"/>
                <w:b/>
                <w:bCs/>
                <w:color w:val="auto"/>
                <w:sz w:val="24"/>
                <w:szCs w:val="24"/>
                <w:lang w:eastAsia="ar-SA"/>
              </w:rPr>
              <w:t xml:space="preserve"> 202</w:t>
            </w:r>
            <w:r w:rsidR="00A30786">
              <w:rPr>
                <w:rFonts w:ascii="Times New Roman" w:hAnsi="Times New Roman" w:cs="Times New Roman"/>
                <w:b/>
                <w:bCs/>
                <w:color w:val="auto"/>
                <w:sz w:val="24"/>
                <w:szCs w:val="24"/>
                <w:lang w:eastAsia="ar-SA"/>
              </w:rPr>
              <w:t>4</w:t>
            </w:r>
            <w:r w:rsidR="00FC72A4" w:rsidRPr="00A30786">
              <w:rPr>
                <w:rFonts w:ascii="Times New Roman" w:hAnsi="Times New Roman" w:cs="Times New Roman"/>
                <w:b/>
                <w:bCs/>
                <w:color w:val="auto"/>
                <w:sz w:val="24"/>
                <w:szCs w:val="24"/>
                <w:lang w:eastAsia="ar-SA"/>
              </w:rPr>
              <w:t xml:space="preserve"> року</w:t>
            </w:r>
            <w:r w:rsidR="00103D45" w:rsidRPr="00A30786">
              <w:rPr>
                <w:rFonts w:ascii="Times New Roman" w:hAnsi="Times New Roman" w:cs="Times New Roman"/>
                <w:b/>
                <w:bCs/>
                <w:color w:val="auto"/>
                <w:sz w:val="24"/>
                <w:szCs w:val="24"/>
                <w:lang w:eastAsia="ar-SA"/>
              </w:rPr>
              <w:t xml:space="preserve"> №</w:t>
            </w:r>
            <w:r w:rsidR="00AD08CB" w:rsidRPr="00A30786">
              <w:rPr>
                <w:rFonts w:ascii="Times New Roman" w:hAnsi="Times New Roman" w:cs="Times New Roman"/>
                <w:b/>
                <w:bCs/>
                <w:color w:val="auto"/>
                <w:sz w:val="24"/>
                <w:szCs w:val="24"/>
                <w:lang w:eastAsia="ar-SA"/>
              </w:rPr>
              <w:t xml:space="preserve"> </w:t>
            </w:r>
            <w:r w:rsidR="00A30786">
              <w:rPr>
                <w:rFonts w:ascii="Times New Roman" w:hAnsi="Times New Roman" w:cs="Times New Roman"/>
                <w:b/>
                <w:bCs/>
                <w:color w:val="auto"/>
                <w:sz w:val="24"/>
                <w:szCs w:val="24"/>
                <w:lang w:eastAsia="ar-SA"/>
              </w:rPr>
              <w:t>23</w:t>
            </w:r>
            <w:r w:rsidR="00103D45" w:rsidRPr="004F4298">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3EA0C09F" w14:textId="7A864EDF" w:rsidR="009877D4" w:rsidRDefault="000E6650" w:rsidP="0062346D">
      <w:pPr>
        <w:spacing w:line="240" w:lineRule="auto"/>
        <w:ind w:firstLine="539"/>
        <w:jc w:val="center"/>
        <w:rPr>
          <w:rFonts w:ascii="Times New Roman" w:hAnsi="Times New Roman" w:cs="Times New Roman"/>
          <w:b/>
          <w:sz w:val="50"/>
          <w:szCs w:val="50"/>
          <w:u w:val="single"/>
        </w:rPr>
      </w:pPr>
      <w:r w:rsidRPr="000E6650">
        <w:rPr>
          <w:rFonts w:ascii="Times New Roman" w:hAnsi="Times New Roman" w:cs="Times New Roman"/>
          <w:b/>
          <w:sz w:val="50"/>
          <w:szCs w:val="50"/>
          <w:u w:val="single"/>
        </w:rPr>
        <w:t>ДК 021:2015</w:t>
      </w:r>
      <w:r w:rsidR="00C27B83">
        <w:rPr>
          <w:rFonts w:ascii="Times New Roman" w:hAnsi="Times New Roman" w:cs="Times New Roman"/>
          <w:b/>
          <w:sz w:val="50"/>
          <w:szCs w:val="50"/>
          <w:u w:val="single"/>
        </w:rPr>
        <w:t xml:space="preserve">:09130000:9 Нафта і дистиляти  </w:t>
      </w:r>
    </w:p>
    <w:p w14:paraId="0854FFA3" w14:textId="59AB5BBE" w:rsidR="0062346D" w:rsidRPr="00D02C50" w:rsidRDefault="0062346D" w:rsidP="00D02C50">
      <w:pPr>
        <w:jc w:val="center"/>
        <w:rPr>
          <w:rFonts w:ascii="Times New Roman" w:hAnsi="Times New Roman"/>
          <w:b/>
          <w:sz w:val="50"/>
          <w:szCs w:val="50"/>
          <w:u w:val="single"/>
        </w:rPr>
      </w:pPr>
      <w:r>
        <w:rPr>
          <w:rFonts w:ascii="Times New Roman" w:hAnsi="Times New Roman" w:cs="Times New Roman"/>
          <w:b/>
          <w:sz w:val="50"/>
          <w:szCs w:val="50"/>
          <w:u w:val="single"/>
        </w:rPr>
        <w:t>(</w:t>
      </w:r>
      <w:r w:rsidR="00D02C50" w:rsidRPr="00D02C50">
        <w:rPr>
          <w:rFonts w:ascii="Times New Roman" w:hAnsi="Times New Roman"/>
          <w:b/>
          <w:sz w:val="50"/>
          <w:szCs w:val="50"/>
          <w:u w:val="single"/>
        </w:rPr>
        <w:t>Дизельне паливо Євро 5</w:t>
      </w:r>
      <w:r>
        <w:rPr>
          <w:rFonts w:ascii="Times New Roman" w:hAnsi="Times New Roman" w:cs="Times New Roman"/>
          <w:b/>
          <w:sz w:val="50"/>
          <w:szCs w:val="50"/>
          <w:u w:val="single"/>
        </w:rPr>
        <w:t>)</w:t>
      </w:r>
    </w:p>
    <w:p w14:paraId="6413E0FE" w14:textId="77777777" w:rsidR="009B7B05" w:rsidRDefault="009B7B05" w:rsidP="009F7288">
      <w:pPr>
        <w:spacing w:line="240" w:lineRule="auto"/>
        <w:ind w:firstLine="539"/>
        <w:jc w:val="center"/>
        <w:rPr>
          <w:b/>
          <w:bCs/>
          <w:sz w:val="50"/>
          <w:szCs w:val="50"/>
          <w:u w:val="single"/>
        </w:rPr>
      </w:pPr>
    </w:p>
    <w:p w14:paraId="6B805CA9" w14:textId="77777777" w:rsidR="00021C99" w:rsidRDefault="00021C99" w:rsidP="009F7288">
      <w:pPr>
        <w:spacing w:line="240" w:lineRule="auto"/>
        <w:ind w:firstLine="539"/>
        <w:jc w:val="center"/>
        <w:rPr>
          <w:b/>
          <w:bCs/>
          <w:sz w:val="50"/>
          <w:szCs w:val="50"/>
          <w:u w:val="single"/>
        </w:rPr>
      </w:pPr>
    </w:p>
    <w:p w14:paraId="69AB617D" w14:textId="77777777" w:rsidR="009B7B05" w:rsidRDefault="009B7B05" w:rsidP="009F7288">
      <w:pPr>
        <w:spacing w:line="240" w:lineRule="auto"/>
        <w:ind w:firstLine="539"/>
        <w:jc w:val="center"/>
        <w:rPr>
          <w:b/>
          <w:bCs/>
          <w:sz w:val="50"/>
          <w:szCs w:val="50"/>
          <w:u w:val="single"/>
        </w:rPr>
      </w:pPr>
    </w:p>
    <w:p w14:paraId="2477E0E7" w14:textId="77777777" w:rsidR="000E6650" w:rsidRDefault="000E6650" w:rsidP="009F7288">
      <w:pPr>
        <w:spacing w:line="240" w:lineRule="auto"/>
        <w:ind w:firstLine="539"/>
        <w:jc w:val="center"/>
        <w:rPr>
          <w:b/>
          <w:bCs/>
          <w:sz w:val="50"/>
          <w:szCs w:val="50"/>
          <w:u w:val="single"/>
        </w:rPr>
      </w:pPr>
    </w:p>
    <w:p w14:paraId="25FBC447" w14:textId="77777777" w:rsidR="000E6650" w:rsidRDefault="000E6650" w:rsidP="009F7288">
      <w:pPr>
        <w:spacing w:line="240" w:lineRule="auto"/>
        <w:ind w:firstLine="539"/>
        <w:jc w:val="center"/>
        <w:rPr>
          <w:b/>
          <w:bCs/>
          <w:sz w:val="50"/>
          <w:szCs w:val="50"/>
          <w:u w:val="single"/>
        </w:rPr>
      </w:pPr>
    </w:p>
    <w:p w14:paraId="5A29B9DF" w14:textId="77777777" w:rsidR="00C27B83" w:rsidRDefault="00C27B83"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4F1468A"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021C99">
        <w:rPr>
          <w:rFonts w:ascii="Times New Roman" w:hAnsi="Times New Roman" w:cs="Times New Roman"/>
          <w:b/>
          <w:bCs/>
          <w:color w:val="auto"/>
          <w:sz w:val="24"/>
          <w:szCs w:val="24"/>
          <w:lang w:eastAsia="ar-SA"/>
        </w:rPr>
        <w:t>4</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054857B6" w14:textId="77777777" w:rsidR="00021C99" w:rsidRPr="00021C99" w:rsidRDefault="00021C99" w:rsidP="00021C99">
            <w:pPr>
              <w:pStyle w:val="a7"/>
            </w:pPr>
            <w:r w:rsidRPr="00021C99">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21C99">
              <w:rPr>
                <w:lang w:val="uk-UA"/>
              </w:rPr>
              <w:t>закупівель</w:t>
            </w:r>
            <w:proofErr w:type="spellEnd"/>
            <w:r w:rsidRPr="00021C9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A52667A" w14:textId="43599FD5" w:rsidR="00620FEB" w:rsidRPr="00DE0837" w:rsidRDefault="00021C99" w:rsidP="00021C99">
            <w:pPr>
              <w:pStyle w:val="a7"/>
              <w:spacing w:before="0" w:after="0"/>
              <w:jc w:val="both"/>
              <w:rPr>
                <w:rFonts w:ascii="Calibri" w:hAnsi="Calibri"/>
                <w:sz w:val="20"/>
                <w:szCs w:val="20"/>
                <w:lang w:val="uk-UA"/>
              </w:rPr>
            </w:pPr>
            <w:r w:rsidRPr="00021C99">
              <w:rPr>
                <w:lang w:val="uk-UA"/>
              </w:rPr>
              <w:t>Терміни, які використовуються в цій документації, вживаються у значенні, наведеному в Законі та Особливостях.</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5CD1D1D6"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 xml:space="preserve">проспект </w:t>
            </w:r>
            <w:r w:rsidR="00DF40B1">
              <w:rPr>
                <w:rFonts w:ascii="Times New Roman" w:eastAsia="Calibri" w:hAnsi="Times New Roman" w:cs="Times New Roman"/>
                <w:color w:val="auto"/>
                <w:sz w:val="24"/>
                <w:szCs w:val="24"/>
                <w:lang w:eastAsia="en-US"/>
              </w:rPr>
              <w:t>Незалежності (</w:t>
            </w:r>
            <w:r w:rsidRPr="00DE0837">
              <w:rPr>
                <w:rFonts w:ascii="Times New Roman" w:eastAsia="Calibri" w:hAnsi="Times New Roman" w:cs="Times New Roman"/>
                <w:color w:val="auto"/>
                <w:sz w:val="24"/>
                <w:szCs w:val="24"/>
                <w:lang w:eastAsia="en-US"/>
              </w:rPr>
              <w:t>Ушакова</w:t>
            </w:r>
            <w:r w:rsidR="00DF40B1">
              <w:rPr>
                <w:rFonts w:ascii="Times New Roman" w:eastAsia="Calibri" w:hAnsi="Times New Roman" w:cs="Times New Roman"/>
                <w:color w:val="auto"/>
                <w:sz w:val="24"/>
                <w:szCs w:val="24"/>
                <w:lang w:eastAsia="en-US"/>
              </w:rPr>
              <w:t>)</w:t>
            </w:r>
            <w:r w:rsidRPr="00DE0837">
              <w:rPr>
                <w:rFonts w:ascii="Times New Roman" w:eastAsia="Calibri" w:hAnsi="Times New Roman" w:cs="Times New Roman"/>
                <w:color w:val="auto"/>
                <w:sz w:val="24"/>
                <w:szCs w:val="24"/>
                <w:lang w:eastAsia="en-US"/>
              </w:rPr>
              <w:t>,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0E4D6E1B" w:rsidR="000F4A28" w:rsidRPr="007E0FB4" w:rsidRDefault="009B7B05" w:rsidP="00DF40B1">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w:t>
            </w:r>
            <w:r w:rsidR="00DF40B1" w:rsidRPr="00DF40B1">
              <w:rPr>
                <w:rFonts w:ascii="Times New Roman" w:eastAsia="Calibri" w:hAnsi="Times New Roman" w:cs="Times New Roman"/>
                <w:color w:val="auto"/>
                <w:sz w:val="24"/>
                <w:szCs w:val="24"/>
                <w:lang w:eastAsia="en-US"/>
              </w:rPr>
              <w:t>Незалежності (Ушакова)</w:t>
            </w:r>
            <w:r w:rsidR="000F4A28" w:rsidRPr="007E0FB4">
              <w:rPr>
                <w:rFonts w:ascii="Times New Roman" w:eastAsia="Calibri" w:hAnsi="Times New Roman" w:cs="Times New Roman"/>
                <w:color w:val="auto"/>
                <w:sz w:val="24"/>
                <w:szCs w:val="24"/>
                <w:lang w:eastAsia="en-US"/>
              </w:rPr>
              <w:t xml:space="preserve">,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796EA241" w:rsidR="00EC5387" w:rsidRPr="00C27B83" w:rsidRDefault="000E6650" w:rsidP="00021C99">
            <w:pPr>
              <w:rPr>
                <w:rFonts w:ascii="Times New Roman" w:hAnsi="Times New Roman" w:cs="Times New Roman"/>
                <w:sz w:val="24"/>
                <w:szCs w:val="24"/>
              </w:rPr>
            </w:pPr>
            <w:r w:rsidRPr="000E6650">
              <w:rPr>
                <w:rFonts w:ascii="Times New Roman" w:hAnsi="Times New Roman" w:cs="Times New Roman"/>
                <w:sz w:val="24"/>
                <w:szCs w:val="24"/>
              </w:rPr>
              <w:t>ДК 021:2015:09130000:9 Нафта і дистиляти  (</w:t>
            </w:r>
            <w:r w:rsidR="00D02C50" w:rsidRPr="00D02C50">
              <w:rPr>
                <w:rFonts w:ascii="Times New Roman" w:hAnsi="Times New Roman" w:cs="Times New Roman"/>
                <w:sz w:val="24"/>
                <w:szCs w:val="24"/>
              </w:rPr>
              <w:t>Дизельне паливо Євро 5</w:t>
            </w:r>
            <w:r w:rsidRPr="000E6650">
              <w:rPr>
                <w:rFonts w:ascii="Times New Roman" w:hAnsi="Times New Roman" w:cs="Times New Roman"/>
                <w:sz w:val="24"/>
                <w:szCs w:val="24"/>
              </w:rPr>
              <w:t>)</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61C70C33" w:rsidR="009877D4" w:rsidRPr="00021C99" w:rsidRDefault="00620FEB" w:rsidP="00021C99">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A87B45" w:rsidRPr="00A87B45">
              <w:rPr>
                <w:rFonts w:ascii="Times New Roman" w:hAnsi="Times New Roman" w:cs="Times New Roman"/>
                <w:sz w:val="24"/>
                <w:szCs w:val="24"/>
              </w:rPr>
              <w:t>73000, Україна, Херсонська область, місто Херсон, стаціонарна мережа автозаправних станцій (АЗС), та АЗС для заправки автотранспорту по всій території України</w:t>
            </w:r>
            <w:r w:rsidR="00B31097" w:rsidRPr="00B31097">
              <w:rPr>
                <w:rFonts w:ascii="Times New Roman" w:hAnsi="Times New Roman" w:cs="Times New Roman"/>
                <w:sz w:val="24"/>
                <w:szCs w:val="24"/>
              </w:rPr>
              <w:t>.</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BE3D0E1" w14:textId="77777777" w:rsidR="009B7B05" w:rsidRPr="00021C99" w:rsidRDefault="00620FEB" w:rsidP="00FD6B09">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r w:rsidR="009B7B05" w:rsidRPr="00021C99">
              <w:rPr>
                <w:rFonts w:ascii="Times New Roman" w:hAnsi="Times New Roman" w:cs="Times New Roman"/>
                <w:b/>
                <w:color w:val="auto"/>
                <w:sz w:val="24"/>
                <w:szCs w:val="24"/>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00C6F91A" w14:textId="77777777" w:rsidTr="000E6650">
              <w:trPr>
                <w:trHeight w:val="556"/>
              </w:trPr>
              <w:tc>
                <w:tcPr>
                  <w:tcW w:w="408" w:type="dxa"/>
                  <w:shd w:val="clear" w:color="auto" w:fill="auto"/>
                </w:tcPr>
                <w:p w14:paraId="466B7C08" w14:textId="77777777" w:rsidR="00FD6B09" w:rsidRPr="00E7583C" w:rsidRDefault="00FD6B09" w:rsidP="00FD6B09">
                  <w:pPr>
                    <w:spacing w:line="240" w:lineRule="auto"/>
                    <w:jc w:val="center"/>
                    <w:rPr>
                      <w:rFonts w:ascii="Times New Roman" w:hAnsi="Times New Roman" w:cs="Times New Roman"/>
                      <w:b/>
                      <w:sz w:val="18"/>
                      <w:szCs w:val="18"/>
                    </w:rPr>
                  </w:pPr>
                  <w:bookmarkStart w:id="1" w:name="_Hlk135294377"/>
                  <w:r w:rsidRPr="00E7583C">
                    <w:rPr>
                      <w:rFonts w:ascii="Times New Roman" w:hAnsi="Times New Roman" w:cs="Times New Roman"/>
                      <w:b/>
                      <w:sz w:val="18"/>
                      <w:szCs w:val="18"/>
                    </w:rPr>
                    <w:t>№</w:t>
                  </w:r>
                </w:p>
                <w:p w14:paraId="24821AF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2E52652E"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2A0066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6C6B5569"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6CB898B3"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D02C50" w:rsidRPr="00E7583C" w14:paraId="6A4025D5" w14:textId="77777777" w:rsidTr="000E6650">
              <w:trPr>
                <w:trHeight w:val="483"/>
              </w:trPr>
              <w:tc>
                <w:tcPr>
                  <w:tcW w:w="408" w:type="dxa"/>
                  <w:shd w:val="clear" w:color="auto" w:fill="auto"/>
                  <w:noWrap/>
                </w:tcPr>
                <w:p w14:paraId="6C4F077A" w14:textId="19D3DD9C" w:rsidR="00D02C50" w:rsidRPr="00E7583C" w:rsidRDefault="00BF7657" w:rsidP="00FD6B09">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r w:rsidR="00D02C50">
                    <w:rPr>
                      <w:rFonts w:ascii="Times New Roman" w:hAnsi="Times New Roman" w:cs="Times New Roman"/>
                      <w:sz w:val="18"/>
                      <w:szCs w:val="18"/>
                    </w:rPr>
                    <w:t>.</w:t>
                  </w:r>
                </w:p>
              </w:tc>
              <w:tc>
                <w:tcPr>
                  <w:tcW w:w="2126" w:type="dxa"/>
                  <w:shd w:val="clear" w:color="auto" w:fill="auto"/>
                  <w:noWrap/>
                </w:tcPr>
                <w:p w14:paraId="2EDEB388" w14:textId="23A28EED" w:rsidR="00D02C50" w:rsidRPr="00D02C50" w:rsidRDefault="00D02C50" w:rsidP="00021C99">
                  <w:pPr>
                    <w:spacing w:line="240" w:lineRule="auto"/>
                    <w:rPr>
                      <w:rFonts w:ascii="Times New Roman" w:hAnsi="Times New Roman" w:cs="Times New Roman"/>
                      <w:sz w:val="20"/>
                      <w:szCs w:val="20"/>
                    </w:rPr>
                  </w:pPr>
                  <w:r w:rsidRPr="00D02C50">
                    <w:rPr>
                      <w:rFonts w:ascii="Times New Roman" w:hAnsi="Times New Roman" w:cs="Times New Roman"/>
                      <w:sz w:val="20"/>
                      <w:szCs w:val="20"/>
                    </w:rPr>
                    <w:t>Дизельне паливо Євро 5</w:t>
                  </w:r>
                  <w:r w:rsidRPr="00D02C50">
                    <w:rPr>
                      <w:sz w:val="20"/>
                      <w:szCs w:val="20"/>
                    </w:rPr>
                    <w:t xml:space="preserve"> </w:t>
                  </w:r>
                </w:p>
              </w:tc>
              <w:tc>
                <w:tcPr>
                  <w:tcW w:w="1275" w:type="dxa"/>
                  <w:shd w:val="clear" w:color="auto" w:fill="auto"/>
                </w:tcPr>
                <w:p w14:paraId="26349BDB" w14:textId="18E2BB1E" w:rsidR="00D02C50" w:rsidRPr="00E7583C" w:rsidRDefault="00D02C50" w:rsidP="00087BF7">
                  <w:pPr>
                    <w:spacing w:line="240" w:lineRule="auto"/>
                    <w:jc w:val="center"/>
                    <w:rPr>
                      <w:rFonts w:ascii="Times New Roman" w:hAnsi="Times New Roman" w:cs="Times New Roman"/>
                      <w:sz w:val="18"/>
                      <w:szCs w:val="18"/>
                    </w:rPr>
                  </w:pPr>
                  <w:r w:rsidRPr="000E6650">
                    <w:rPr>
                      <w:rFonts w:ascii="Times New Roman" w:hAnsi="Times New Roman" w:cs="Times New Roman"/>
                      <w:sz w:val="18"/>
                      <w:szCs w:val="18"/>
                    </w:rPr>
                    <w:t xml:space="preserve">ДК 021:2015 - 09134200-9 </w:t>
                  </w:r>
                  <w:r w:rsidRPr="000E6650">
                    <w:rPr>
                      <w:rFonts w:ascii="Times New Roman" w:hAnsi="Times New Roman" w:cs="Times New Roman"/>
                      <w:sz w:val="18"/>
                      <w:szCs w:val="18"/>
                    </w:rPr>
                    <w:lastRenderedPageBreak/>
                    <w:t>- Дизельне паливо</w:t>
                  </w:r>
                </w:p>
              </w:tc>
              <w:tc>
                <w:tcPr>
                  <w:tcW w:w="993" w:type="dxa"/>
                  <w:shd w:val="clear" w:color="auto" w:fill="auto"/>
                </w:tcPr>
                <w:p w14:paraId="4B4BF9CC" w14:textId="70199A36" w:rsidR="00D02C50" w:rsidRPr="00E7583C" w:rsidRDefault="00D02C50" w:rsidP="00FD6B09">
                  <w:pPr>
                    <w:spacing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lastRenderedPageBreak/>
                    <w:t>літри</w:t>
                  </w:r>
                </w:p>
              </w:tc>
              <w:tc>
                <w:tcPr>
                  <w:tcW w:w="1134" w:type="dxa"/>
                  <w:shd w:val="clear" w:color="auto" w:fill="auto"/>
                </w:tcPr>
                <w:p w14:paraId="3CBAEDC3" w14:textId="5ED5A6D8" w:rsidR="00D02C50" w:rsidRPr="00D02C50" w:rsidRDefault="0096502A" w:rsidP="00FD6B09">
                  <w:pPr>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25 467</w:t>
                  </w:r>
                </w:p>
              </w:tc>
            </w:tr>
            <w:bookmarkEnd w:id="1"/>
          </w:tbl>
          <w:p w14:paraId="2AFB9067" w14:textId="1CB376DE" w:rsidR="00FD6B09" w:rsidRPr="009B7B05" w:rsidRDefault="00FD6B09" w:rsidP="00FD6B09">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5C561AC4" w:rsidR="000446E7" w:rsidRPr="009877D4" w:rsidRDefault="00021C99" w:rsidP="00DE6350">
            <w:pPr>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протягом 2024 року, до 31.12.2024</w:t>
            </w:r>
            <w:r w:rsidR="000E6650" w:rsidRPr="000E6650">
              <w:rPr>
                <w:rFonts w:ascii="Times New Roman" w:hAnsi="Times New Roman" w:cs="Times New Roman"/>
                <w:sz w:val="24"/>
                <w:szCs w:val="24"/>
              </w:rPr>
              <w:t xml:space="preserve"> р.</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39915B1"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021C99" w:rsidRPr="00021C9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021C99" w:rsidRPr="00021C99">
              <w:rPr>
                <w:lang w:val="uk-UA"/>
              </w:rPr>
              <w:t>бенефіціарним</w:t>
            </w:r>
            <w:proofErr w:type="spellEnd"/>
            <w:r w:rsidR="00021C99" w:rsidRPr="00021C9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2E9C4FE" w:rsidR="007E0FB4" w:rsidRPr="00F66C65" w:rsidRDefault="00021C99" w:rsidP="00021C99">
            <w:pPr>
              <w:pStyle w:val="a7"/>
              <w:spacing w:before="0" w:after="0"/>
              <w:ind w:firstLine="601"/>
              <w:jc w:val="both"/>
              <w:rPr>
                <w:lang w:val="uk-UA"/>
              </w:rPr>
            </w:pPr>
            <w:r>
              <w:rPr>
                <w:lang w:val="uk-UA"/>
              </w:rPr>
              <w:t>З</w:t>
            </w:r>
            <w:r w:rsidRPr="00021C99">
              <w:rPr>
                <w:lang w:val="uk-UA"/>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w:t>
            </w:r>
            <w:r>
              <w:rPr>
                <w:lang w:val="uk-UA"/>
              </w:rPr>
              <w:t xml:space="preserve">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lastRenderedPageBreak/>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К - офіційний курс гривні до долару США, ЄВРО, встановлений Національним банком України на дату </w:t>
            </w:r>
            <w:r w:rsidRPr="00DE0837">
              <w:rPr>
                <w:rFonts w:ascii="Times New Roman" w:hAnsi="Times New Roman" w:cs="Times New Roman"/>
                <w:color w:val="auto"/>
                <w:sz w:val="24"/>
                <w:szCs w:val="24"/>
              </w:rPr>
              <w:lastRenderedPageBreak/>
              <w:t>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2474BC09"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закупівель.</w:t>
            </w:r>
            <w:bookmarkStart w:id="2" w:name="_GoBack"/>
            <w:bookmarkEnd w:id="2"/>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w:t>
            </w:r>
            <w:r w:rsidR="008821E4" w:rsidRPr="008821E4">
              <w:rPr>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6224BC8C"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w:t>
            </w:r>
            <w:r w:rsidR="0066663E" w:rsidRPr="00103D45">
              <w:rPr>
                <w:rFonts w:ascii="Times New Roman" w:hAnsi="Times New Roman" w:cs="Times New Roman"/>
                <w:color w:val="auto"/>
                <w:sz w:val="24"/>
                <w:szCs w:val="24"/>
                <w:lang w:val="uk-UA"/>
              </w:rPr>
              <w:t xml:space="preserve"> (додат</w:t>
            </w:r>
            <w:r w:rsidR="00C92DE8">
              <w:rPr>
                <w:rFonts w:ascii="Times New Roman" w:hAnsi="Times New Roman" w:cs="Times New Roman"/>
                <w:color w:val="auto"/>
                <w:sz w:val="24"/>
                <w:szCs w:val="24"/>
                <w:lang w:val="uk-UA"/>
              </w:rPr>
              <w:t>ок</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w:t>
            </w:r>
            <w:r w:rsidRPr="00DE0837">
              <w:rPr>
                <w:lang w:val="uk-UA"/>
              </w:rPr>
              <w:lastRenderedPageBreak/>
              <w:t xml:space="preserve">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3C117673" w:rsidR="00BA1827" w:rsidRPr="00DE0837" w:rsidRDefault="00BA1827" w:rsidP="00BA1827">
            <w:pPr>
              <w:spacing w:line="240" w:lineRule="auto"/>
              <w:ind w:firstLine="743"/>
              <w:jc w:val="both"/>
              <w:rPr>
                <w:rFonts w:ascii="Times New Roman" w:hAnsi="Times New Roman" w:cs="Times New Roman"/>
                <w:color w:val="auto"/>
                <w:sz w:val="24"/>
                <w:szCs w:val="24"/>
              </w:rPr>
            </w:pPr>
            <w:r w:rsidRPr="00DF40B1">
              <w:rPr>
                <w:rFonts w:ascii="Times New Roman" w:hAnsi="Times New Roman" w:cs="Times New Roman"/>
                <w:color w:val="auto"/>
                <w:sz w:val="24"/>
                <w:szCs w:val="24"/>
              </w:rPr>
              <w:t>1.4. Відповідно до частини 3 статті 12 Закону під</w:t>
            </w:r>
            <w:r w:rsidRPr="00DE0837">
              <w:rPr>
                <w:rFonts w:ascii="Times New Roman" w:hAnsi="Times New Roman" w:cs="Times New Roman"/>
                <w:color w:val="auto"/>
                <w:sz w:val="24"/>
                <w:szCs w:val="24"/>
              </w:rPr>
              <w:t xml:space="preserve">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021C99" w:rsidRPr="00021C99">
              <w:rPr>
                <w:rFonts w:ascii="Times New Roman" w:hAnsi="Times New Roman" w:cs="Times New Roman"/>
                <w:bCs/>
                <w:color w:val="auto"/>
                <w:sz w:val="24"/>
                <w:szCs w:val="24"/>
              </w:rPr>
              <w:t>Про електронну ідентифікацію та електронні довірчі послуги</w:t>
            </w:r>
            <w:r w:rsidRPr="00DE0837">
              <w:rPr>
                <w:rFonts w:ascii="Times New Roman" w:hAnsi="Times New Roman" w:cs="Times New Roman"/>
                <w:color w:val="auto"/>
                <w:sz w:val="24"/>
                <w:szCs w:val="24"/>
              </w:rPr>
              <w:t>”,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w:t>
            </w:r>
            <w:r w:rsidRPr="00DE0837">
              <w:rPr>
                <w:rFonts w:ascii="Times New Roman" w:hAnsi="Times New Roman" w:cs="Times New Roman"/>
                <w:color w:val="auto"/>
                <w:sz w:val="24"/>
                <w:szCs w:val="24"/>
              </w:rPr>
              <w:lastRenderedPageBreak/>
              <w:t xml:space="preserve">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lastRenderedPageBreak/>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3" w:name="n1479"/>
            <w:bookmarkEnd w:id="3"/>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4" w:name="n1480"/>
            <w:bookmarkEnd w:id="4"/>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5" w:name="n1481"/>
            <w:bookmarkStart w:id="6" w:name="n1482"/>
            <w:bookmarkEnd w:id="5"/>
            <w:bookmarkEnd w:id="6"/>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7" w:name="n815"/>
            <w:bookmarkEnd w:id="7"/>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DE0837">
              <w:rPr>
                <w:rFonts w:ascii="Times New Roman" w:hAnsi="Times New Roman" w:cs="Times New Roman"/>
                <w:sz w:val="24"/>
                <w:szCs w:val="24"/>
              </w:rPr>
              <w:lastRenderedPageBreak/>
              <w:t>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hAnsi="Times New Roman" w:cs="Times New Roman"/>
                <w:sz w:val="24"/>
                <w:szCs w:val="24"/>
              </w:rPr>
              <w:lastRenderedPageBreak/>
              <w:t xml:space="preserve">«гарантійний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8" w:name="n1473"/>
            <w:bookmarkEnd w:id="8"/>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w:t>
            </w:r>
            <w:r w:rsidRPr="00BA1066">
              <w:rPr>
                <w:lang w:val="uk-UA"/>
              </w:rPr>
              <w:lastRenderedPageBreak/>
              <w:t xml:space="preserve">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601110">
              <w:rPr>
                <w:lang w:val="uk-UA"/>
              </w:rPr>
              <w:lastRenderedPageBreak/>
              <w:t xml:space="preserve">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9" w:name="n399"/>
            <w:bookmarkEnd w:id="9"/>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3A76D0">
              <w:rPr>
                <w:rFonts w:ascii="Times New Roman" w:hAnsi="Times New Roman" w:cs="Times New Roman"/>
                <w:color w:val="000000" w:themeColor="text1"/>
                <w:sz w:val="24"/>
                <w:szCs w:val="24"/>
                <w:lang w:eastAsia="uk-UA"/>
              </w:rPr>
              <w:lastRenderedPageBreak/>
              <w:t>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10" w:name="n1278"/>
            <w:bookmarkEnd w:id="10"/>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3A44C410"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96502A" w:rsidRPr="0096502A">
              <w:rPr>
                <w:rFonts w:ascii="Times New Roman" w:hAnsi="Times New Roman" w:cs="Times New Roman"/>
                <w:b/>
                <w:color w:val="auto"/>
                <w:sz w:val="24"/>
                <w:szCs w:val="24"/>
                <w:lang w:val="ru-RU"/>
              </w:rPr>
              <w:t>12</w:t>
            </w:r>
            <w:r w:rsidR="0096502A" w:rsidRPr="0096502A">
              <w:rPr>
                <w:rFonts w:ascii="Times New Roman" w:hAnsi="Times New Roman" w:cs="Times New Roman"/>
                <w:b/>
                <w:color w:val="auto"/>
                <w:sz w:val="24"/>
                <w:szCs w:val="24"/>
              </w:rPr>
              <w:t>.03</w:t>
            </w:r>
            <w:r w:rsidR="00B31097" w:rsidRPr="0096502A">
              <w:rPr>
                <w:rFonts w:ascii="Times New Roman" w:hAnsi="Times New Roman" w:cs="Times New Roman"/>
                <w:b/>
                <w:color w:val="auto"/>
                <w:sz w:val="24"/>
                <w:szCs w:val="24"/>
              </w:rPr>
              <w:t>.</w:t>
            </w:r>
            <w:r w:rsidR="0096502A" w:rsidRPr="0096502A">
              <w:rPr>
                <w:rFonts w:ascii="Times New Roman" w:hAnsi="Times New Roman" w:cs="Times New Roman"/>
                <w:b/>
                <w:color w:val="auto"/>
                <w:sz w:val="24"/>
                <w:szCs w:val="24"/>
              </w:rPr>
              <w:t>2024</w:t>
            </w:r>
            <w:r w:rsidR="00103D45" w:rsidRPr="0096502A">
              <w:rPr>
                <w:rFonts w:ascii="Times New Roman" w:hAnsi="Times New Roman" w:cs="Times New Roman"/>
                <w:b/>
                <w:color w:val="auto"/>
                <w:sz w:val="24"/>
                <w:szCs w:val="24"/>
              </w:rPr>
              <w:t xml:space="preserve"> до 12-00</w:t>
            </w:r>
            <w:r w:rsidR="00E00F9E" w:rsidRPr="0096502A">
              <w:rPr>
                <w:rFonts w:ascii="Times New Roman" w:hAnsi="Times New Roman" w:cs="Times New Roman"/>
                <w:color w:val="auto"/>
                <w:sz w:val="24"/>
                <w:szCs w:val="24"/>
              </w:rPr>
              <w:t>.</w:t>
            </w:r>
          </w:p>
          <w:p w14:paraId="446B5F1A" w14:textId="1D4E15B8"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Розмір мінімального кроку пониження ціни під час електронного аукціону складає – 0,5 відсотка ві</w:t>
            </w:r>
            <w:r w:rsidR="00D276B8" w:rsidRPr="00A52518">
              <w:rPr>
                <w:rFonts w:ascii="Times New Roman" w:hAnsi="Times New Roman" w:cs="Times New Roman"/>
                <w:color w:val="auto"/>
                <w:sz w:val="24"/>
                <w:szCs w:val="24"/>
              </w:rPr>
              <w:t xml:space="preserve">д </w:t>
            </w:r>
            <w:r w:rsidR="00D276B8" w:rsidRPr="00A52518">
              <w:rPr>
                <w:rFonts w:ascii="Times New Roman" w:hAnsi="Times New Roman" w:cs="Times New Roman"/>
                <w:color w:val="auto"/>
                <w:sz w:val="24"/>
                <w:szCs w:val="24"/>
              </w:rPr>
              <w:lastRenderedPageBreak/>
              <w:t xml:space="preserve">очікуваної вартості </w:t>
            </w:r>
            <w:r w:rsidR="00D276B8" w:rsidRPr="00DF40B1">
              <w:rPr>
                <w:rFonts w:ascii="Times New Roman" w:hAnsi="Times New Roman" w:cs="Times New Roman"/>
                <w:color w:val="auto"/>
                <w:sz w:val="24"/>
                <w:szCs w:val="24"/>
              </w:rPr>
              <w:t xml:space="preserve">закупівлі – </w:t>
            </w:r>
            <w:r w:rsidR="00DF40B1" w:rsidRPr="0096502A">
              <w:rPr>
                <w:rFonts w:ascii="Times New Roman" w:hAnsi="Times New Roman" w:cs="Times New Roman"/>
                <w:b/>
                <w:color w:val="auto"/>
                <w:sz w:val="24"/>
                <w:szCs w:val="24"/>
              </w:rPr>
              <w:t>6 599,</w:t>
            </w:r>
            <w:r w:rsidR="0096502A" w:rsidRPr="0096502A">
              <w:rPr>
                <w:rFonts w:ascii="Times New Roman" w:hAnsi="Times New Roman" w:cs="Times New Roman"/>
                <w:b/>
                <w:color w:val="auto"/>
                <w:sz w:val="24"/>
                <w:szCs w:val="24"/>
              </w:rPr>
              <w:t>77</w:t>
            </w:r>
            <w:r w:rsidR="00D276B8" w:rsidRPr="0096502A">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1" w:name="n1465"/>
            <w:bookmarkEnd w:id="11"/>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2" w:name="n293"/>
            <w:bookmarkEnd w:id="12"/>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3" w:name="n300"/>
            <w:bookmarkEnd w:id="13"/>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5747CF99" w14:textId="793E1DE8" w:rsidR="00021C99" w:rsidRDefault="00021C99" w:rsidP="00A706F6">
            <w:pPr>
              <w:pStyle w:val="a7"/>
              <w:spacing w:before="0" w:after="0"/>
              <w:ind w:firstLine="601"/>
              <w:jc w:val="both"/>
              <w:rPr>
                <w:lang w:val="uk-UA"/>
              </w:rPr>
            </w:pPr>
            <w:r w:rsidRPr="00021C99">
              <w:rPr>
                <w:lang w:val="uk-UA"/>
              </w:rPr>
              <w:t>1.1 Розгляд та оцінка тендерних пропозицій здійснюються відповідно до статті 29 Закону (положення частин другої, дванадцятої, шістнадцятої,</w:t>
            </w:r>
            <w:r w:rsidR="00087FF7">
              <w:rPr>
                <w:lang w:val="uk-UA"/>
              </w:rPr>
              <w:t xml:space="preserve"> </w:t>
            </w:r>
            <w:r w:rsidRPr="00021C99">
              <w:rPr>
                <w:lang w:val="uk-UA"/>
              </w:rPr>
              <w:t xml:space="preserve">абзаців другого і третього частини п’ятнадцятої статті 29 Закону не застосовуються) з урахуванням положень пункту 43 </w:t>
            </w:r>
            <w:r w:rsidR="00DF40B1">
              <w:rPr>
                <w:lang w:val="uk-UA"/>
              </w:rPr>
              <w:t>О</w:t>
            </w:r>
            <w:r w:rsidRPr="00021C99">
              <w:rPr>
                <w:lang w:val="uk-UA"/>
              </w:rPr>
              <w:t>собливостей.</w:t>
            </w:r>
          </w:p>
          <w:p w14:paraId="4DC41B2D" w14:textId="209C9F74" w:rsidR="00A706F6" w:rsidRPr="00A706F6" w:rsidRDefault="00021C99" w:rsidP="00A706F6">
            <w:pPr>
              <w:pStyle w:val="a7"/>
              <w:spacing w:before="0" w:after="0"/>
              <w:ind w:firstLine="601"/>
              <w:jc w:val="both"/>
              <w:rPr>
                <w:lang w:val="uk-UA"/>
              </w:rPr>
            </w:pPr>
            <w:r>
              <w:rPr>
                <w:lang w:val="uk-UA"/>
              </w:rPr>
              <w:t>1.2</w:t>
            </w:r>
            <w:r w:rsidR="007403B0" w:rsidRPr="00DE0837">
              <w:rPr>
                <w:lang w:val="uk-UA"/>
              </w:rPr>
              <w:t>.</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4" w:name="n302"/>
            <w:bookmarkEnd w:id="14"/>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3"/>
            <w:bookmarkEnd w:id="15"/>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4"/>
            <w:bookmarkEnd w:id="16"/>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5"/>
            <w:bookmarkEnd w:id="17"/>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7"/>
            <w:bookmarkEnd w:id="18"/>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8"/>
            <w:bookmarkEnd w:id="19"/>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20" w:name="n309"/>
            <w:bookmarkEnd w:id="20"/>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1" w:name="n310"/>
            <w:bookmarkEnd w:id="21"/>
            <w:r w:rsidRPr="00511A4E">
              <w:rPr>
                <w:color w:val="000000" w:themeColor="text1"/>
              </w:rPr>
              <w:lastRenderedPageBreak/>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511A4E">
              <w:rPr>
                <w:color w:val="000000" w:themeColor="text1"/>
                <w:shd w:val="clear" w:color="auto" w:fill="FFFFFF"/>
                <w:lang w:val="uk-UA"/>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4D12F837" w:rsidR="00ED0B9B" w:rsidRDefault="009711DD" w:rsidP="009D4E7C">
            <w:pPr>
              <w:pStyle w:val="a7"/>
              <w:spacing w:before="0" w:after="0"/>
              <w:ind w:firstLine="601"/>
              <w:jc w:val="both"/>
              <w:rPr>
                <w:lang w:val="uk-UA"/>
              </w:rPr>
            </w:pPr>
            <w:r w:rsidRPr="00DE0837">
              <w:rPr>
                <w:lang w:val="uk-UA"/>
              </w:rPr>
              <w:t xml:space="preserve">2.2. </w:t>
            </w:r>
            <w:r w:rsidR="009D4E7C" w:rsidRPr="009D4E7C">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9D4E7C" w:rsidRPr="009D4E7C">
              <w:rPr>
                <w:lang w:val="uk-UA"/>
              </w:rPr>
              <w:t>закупівель</w:t>
            </w:r>
            <w:proofErr w:type="spellEnd"/>
            <w:r w:rsidR="009D4E7C" w:rsidRPr="009D4E7C">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795A5E">
              <w:rPr>
                <w:lang w:val="uk-UA"/>
              </w:rPr>
              <w:lastRenderedPageBreak/>
              <w:t>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2" w:name="n1551"/>
            <w:bookmarkEnd w:id="22"/>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2D0B46B1" w14:textId="6A542F68" w:rsidR="00AA327C" w:rsidRPr="00A31192" w:rsidRDefault="00AA327C" w:rsidP="00A31192">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3" w:name="h.3rdcrjn" w:colFirst="0" w:colLast="0"/>
            <w:bookmarkEnd w:id="23"/>
            <w:r w:rsidRPr="00DE0837">
              <w:rPr>
                <w:lang w:val="uk-UA"/>
              </w:rPr>
              <w:t xml:space="preserve">3.1. </w:t>
            </w:r>
            <w:r w:rsidR="000E56F9" w:rsidRPr="000E56F9">
              <w:rPr>
                <w:lang w:val="uk-UA"/>
              </w:rPr>
              <w:t>Замовник відхиляє тендерну пропозицію із зазначенням аргументації в електронній системі закупівель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A5DC08"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00191775" w:rsidR="000E56F9" w:rsidRPr="000E56F9" w:rsidRDefault="000E56F9" w:rsidP="000E56F9">
            <w:pPr>
              <w:pStyle w:val="a7"/>
              <w:spacing w:before="0" w:after="0"/>
              <w:ind w:firstLine="601"/>
              <w:jc w:val="both"/>
              <w:rPr>
                <w:lang w:val="uk-UA"/>
              </w:rPr>
            </w:pPr>
            <w:r>
              <w:rPr>
                <w:lang w:val="uk-UA"/>
              </w:rPr>
              <w:t xml:space="preserve">- </w:t>
            </w:r>
            <w:r w:rsidR="0038521A" w:rsidRPr="0038521A">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8521A" w:rsidRPr="0038521A">
              <w:rPr>
                <w:lang w:val="uk-UA"/>
              </w:rPr>
              <w:t>бенефіціарним</w:t>
            </w:r>
            <w:proofErr w:type="spellEnd"/>
            <w:r w:rsidR="0038521A" w:rsidRPr="0038521A">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0038521A" w:rsidRPr="0038521A">
                <w:rPr>
                  <w:rStyle w:val="a5"/>
                  <w:color w:val="auto"/>
                  <w:lang w:val="uk-UA"/>
                </w:rPr>
                <w:t>№ 1178</w:t>
              </w:r>
            </w:hyperlink>
            <w:r w:rsidR="0038521A" w:rsidRPr="0038521A">
              <w:rPr>
                <w:lang w:val="uk-UA"/>
              </w:rPr>
              <w:t xml:space="preserve"> “Про затвердження особливостей здійснення публічних </w:t>
            </w:r>
            <w:proofErr w:type="spellStart"/>
            <w:r w:rsidR="0038521A" w:rsidRPr="0038521A">
              <w:rPr>
                <w:lang w:val="uk-UA"/>
              </w:rPr>
              <w:t>закупівель</w:t>
            </w:r>
            <w:proofErr w:type="spellEnd"/>
            <w:r w:rsidR="0038521A" w:rsidRPr="0038521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E56F9">
              <w:rPr>
                <w:lang w:val="uk-UA"/>
              </w:rPr>
              <w:t>;</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0E56F9">
              <w:rPr>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Замовник може відхилити тендерну пропозицію із зазначенням аргументації в електронній системі закупівель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632631">
              <w:rPr>
                <w:lang w:val="uk-UA"/>
              </w:rPr>
              <w:lastRenderedPageBreak/>
              <w:t>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4" w:name="n1478"/>
            <w:bookmarkEnd w:id="24"/>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5" w:name="h.z337ya" w:colFirst="0" w:colLast="0"/>
            <w:bookmarkEnd w:id="25"/>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Відкриті торги автоматично відміняються електронною системою закупівель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Електронною системою закупівель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00333A7D" w:rsidRPr="00333A7D">
              <w:rPr>
                <w:lang w:val="uk-UA"/>
              </w:rPr>
              <w:lastRenderedPageBreak/>
              <w:t>закупівель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95D67BF" w14:textId="77777777" w:rsidR="00735849" w:rsidRPr="00632631" w:rsidRDefault="00735849" w:rsidP="00735849">
            <w:pPr>
              <w:pStyle w:val="rvps2"/>
              <w:shd w:val="clear" w:color="auto" w:fill="FFFFFF"/>
              <w:spacing w:before="0" w:beforeAutospacing="0" w:after="0" w:afterAutospacing="0"/>
              <w:ind w:firstLine="601"/>
              <w:jc w:val="both"/>
            </w:pPr>
            <w:r w:rsidRPr="00632631">
              <w:t>1) зменшення обсягів закупівлі, зокрема з урахуванням фактичного обсягу видатків замовника;</w:t>
            </w:r>
          </w:p>
          <w:p w14:paraId="5F61B851" w14:textId="77777777" w:rsidR="00735849" w:rsidRPr="00632631" w:rsidRDefault="00735849" w:rsidP="00735849">
            <w:pPr>
              <w:pStyle w:val="rvps2"/>
              <w:shd w:val="clear" w:color="auto" w:fill="FFFFFF"/>
              <w:spacing w:before="0" w:beforeAutospacing="0" w:after="0" w:afterAutospacing="0"/>
              <w:ind w:firstLine="601"/>
              <w:jc w:val="both"/>
            </w:pPr>
            <w:r w:rsidRPr="0063263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8E287" w14:textId="77777777" w:rsidR="00735849" w:rsidRPr="00632631" w:rsidRDefault="00735849" w:rsidP="00735849">
            <w:pPr>
              <w:pStyle w:val="rvps2"/>
              <w:shd w:val="clear" w:color="auto" w:fill="FFFFFF"/>
              <w:spacing w:before="0" w:beforeAutospacing="0" w:after="0" w:afterAutospacing="0"/>
              <w:ind w:firstLine="601"/>
              <w:jc w:val="both"/>
            </w:pPr>
            <w:r w:rsidRPr="00632631">
              <w:t>3) покращення якості предмета закупівлі за умови, що таке покращення не призведе до збільшення суми, визначеної в договорі про закупівлю;</w:t>
            </w:r>
          </w:p>
          <w:p w14:paraId="7B472C7B" w14:textId="77777777" w:rsidR="00735849" w:rsidRPr="00632631" w:rsidRDefault="00735849" w:rsidP="00735849">
            <w:pPr>
              <w:pStyle w:val="rvps2"/>
              <w:shd w:val="clear" w:color="auto" w:fill="FFFFFF"/>
              <w:spacing w:before="0" w:beforeAutospacing="0" w:after="0" w:afterAutospacing="0"/>
              <w:ind w:firstLine="601"/>
              <w:jc w:val="both"/>
            </w:pPr>
            <w:r w:rsidRPr="0063263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269E9" w14:textId="77777777" w:rsidR="00735849" w:rsidRPr="00632631" w:rsidRDefault="00735849" w:rsidP="00735849">
            <w:pPr>
              <w:pStyle w:val="rvps2"/>
              <w:shd w:val="clear" w:color="auto" w:fill="FFFFFF"/>
              <w:spacing w:before="0" w:beforeAutospacing="0" w:after="0" w:afterAutospacing="0"/>
              <w:ind w:firstLine="601"/>
              <w:jc w:val="both"/>
            </w:pPr>
            <w:r w:rsidRPr="00632631">
              <w:t>5) погодження зміни ціни в договорі про закупівлю в бік зменшення (без зміни кількості (обсягу) та якості товарів, робіт і послуг);</w:t>
            </w:r>
          </w:p>
          <w:p w14:paraId="4A25F9F8" w14:textId="77777777" w:rsidR="00735849" w:rsidRPr="00632631" w:rsidRDefault="00735849" w:rsidP="00735849">
            <w:pPr>
              <w:pStyle w:val="rvps2"/>
              <w:shd w:val="clear" w:color="auto" w:fill="FFFFFF"/>
              <w:spacing w:before="0" w:beforeAutospacing="0" w:after="0" w:afterAutospacing="0"/>
              <w:ind w:firstLine="601"/>
              <w:jc w:val="both"/>
            </w:pPr>
            <w:r w:rsidRPr="0063263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F36F58"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7) зміни встановленого згідно із законодавством </w:t>
            </w:r>
            <w:r w:rsidRPr="00632631">
              <w:lastRenderedPageBreak/>
              <w:t xml:space="preserve">органами державної статистики індексу споживчих цін, зміни курсу іноземної валюти, зміни біржових котирувань або показників </w:t>
            </w:r>
            <w:proofErr w:type="spellStart"/>
            <w:r w:rsidRPr="00632631">
              <w:t>Platts</w:t>
            </w:r>
            <w:proofErr w:type="spellEnd"/>
            <w:r w:rsidRPr="0063263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2F2B9C" w14:textId="7F471115" w:rsidR="00735849" w:rsidRDefault="00735849" w:rsidP="00735849">
            <w:pPr>
              <w:pStyle w:val="rvps2"/>
              <w:shd w:val="clear" w:color="auto" w:fill="FFFFFF"/>
              <w:spacing w:before="0" w:beforeAutospacing="0" w:after="0" w:afterAutospacing="0"/>
              <w:ind w:firstLine="601"/>
              <w:jc w:val="both"/>
            </w:pPr>
            <w:r w:rsidRPr="00632631">
              <w:t>8) зміни умов у зв’язку із застосуванням положень частини шо</w:t>
            </w:r>
            <w:r w:rsidR="00D02C50">
              <w:t>стої статті 41 Закону;</w:t>
            </w:r>
          </w:p>
          <w:p w14:paraId="64675587" w14:textId="1A50C435" w:rsidR="00D02C50" w:rsidRPr="00632631" w:rsidRDefault="00D02C50" w:rsidP="00735849">
            <w:pPr>
              <w:pStyle w:val="rvps2"/>
              <w:shd w:val="clear" w:color="auto" w:fill="FFFFFF"/>
              <w:spacing w:before="0" w:beforeAutospacing="0" w:after="0" w:afterAutospacing="0"/>
              <w:ind w:firstLine="601"/>
              <w:jc w:val="both"/>
            </w:pPr>
            <w:r w:rsidRPr="00D02C50">
              <w:t xml:space="preserve">9) зменшення обсягів закупівлі та/або ціни згідно з договорами про закупівлю робіт з </w:t>
            </w:r>
            <w:r w:rsidRPr="0038521A">
              <w:t>будівництва об’єктів нерухомого майна відповідно до постанови Кабінету Міністрів України від 25 квітня 2023 р. </w:t>
            </w:r>
            <w:hyperlink r:id="rId9" w:tgtFrame="_blank" w:history="1">
              <w:r w:rsidRPr="0038521A">
                <w:rPr>
                  <w:rStyle w:val="a5"/>
                  <w:color w:val="auto"/>
                </w:rPr>
                <w:t>№ 382</w:t>
              </w:r>
            </w:hyperlink>
            <w:r w:rsidRPr="0038521A">
              <w:t xml:space="preserve"> “Про реалізацію експериментального проекту щодо </w:t>
            </w:r>
            <w:r w:rsidRPr="00D02C50">
              <w:t>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6" w:name="n1776"/>
            <w:bookmarkStart w:id="27" w:name="n576"/>
            <w:bookmarkStart w:id="28" w:name="n577"/>
            <w:bookmarkEnd w:id="26"/>
            <w:bookmarkEnd w:id="27"/>
            <w:bookmarkEnd w:id="28"/>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9" w:name="n579"/>
            <w:bookmarkStart w:id="30" w:name="n578"/>
            <w:bookmarkEnd w:id="29"/>
            <w:bookmarkEnd w:id="30"/>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4B3D02ED" w14:textId="3985F4C3" w:rsidR="007C61FF" w:rsidRPr="00D02C50" w:rsidRDefault="00876171" w:rsidP="00D02C50">
            <w:pPr>
              <w:ind w:firstLine="601"/>
              <w:jc w:val="both"/>
              <w:rPr>
                <w:rFonts w:ascii="Times New Roman" w:hAnsi="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511A4E" w:rsidRPr="00D02C50">
              <w:rPr>
                <w:rFonts w:ascii="Times New Roman" w:hAnsi="Times New Roman" w:cs="Times New Roman"/>
                <w:sz w:val="24"/>
                <w:szCs w:val="24"/>
              </w:rPr>
              <w:t xml:space="preserve">ДК 021:2015:09130000:9 Нафта і дистиляти  </w:t>
            </w:r>
            <w:r w:rsidR="004A10B5" w:rsidRPr="00D02C50">
              <w:rPr>
                <w:rFonts w:ascii="Times New Roman" w:hAnsi="Times New Roman" w:cs="Times New Roman"/>
                <w:sz w:val="24"/>
                <w:szCs w:val="24"/>
              </w:rPr>
              <w:t>(</w:t>
            </w:r>
            <w:r w:rsidR="00D02C50" w:rsidRPr="00D02C50">
              <w:rPr>
                <w:rFonts w:ascii="Times New Roman" w:hAnsi="Times New Roman"/>
                <w:sz w:val="24"/>
                <w:szCs w:val="24"/>
              </w:rPr>
              <w:t>Дизельне паливо Євро 5</w:t>
            </w:r>
            <w:r w:rsidR="004A10B5" w:rsidRPr="00D02C50">
              <w:rPr>
                <w:rFonts w:ascii="Times New Roman" w:hAnsi="Times New Roman" w:cs="Times New Roman"/>
                <w:sz w:val="24"/>
                <w:szCs w:val="24"/>
              </w:rPr>
              <w:t xml:space="preserve">) </w:t>
            </w:r>
          </w:p>
          <w:p w14:paraId="0AA6B229" w14:textId="77777777" w:rsidR="004A10B5" w:rsidRPr="00632631" w:rsidRDefault="004A10B5" w:rsidP="007C61FF">
            <w:pPr>
              <w:spacing w:line="240" w:lineRule="auto"/>
              <w:ind w:firstLine="601"/>
              <w:jc w:val="both"/>
              <w:rPr>
                <w:rFonts w:ascii="Times New Roman" w:hAnsi="Times New Roman" w:cs="Times New Roman"/>
                <w:sz w:val="24"/>
                <w:szCs w:val="24"/>
              </w:rPr>
            </w:pPr>
          </w:p>
          <w:p w14:paraId="6AB1A764" w14:textId="32B7962F" w:rsidR="007C61FF" w:rsidRDefault="00876171" w:rsidP="00FD6B09">
            <w:pPr>
              <w:spacing w:line="240" w:lineRule="auto"/>
              <w:ind w:firstLine="601"/>
              <w:jc w:val="both"/>
              <w:rPr>
                <w:rFonts w:ascii="Times New Roman" w:hAnsi="Times New Roman" w:cs="Times New Roman"/>
                <w:b/>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170E372B" w14:textId="77777777" w:rsidTr="000E6650">
              <w:trPr>
                <w:trHeight w:val="556"/>
              </w:trPr>
              <w:tc>
                <w:tcPr>
                  <w:tcW w:w="408" w:type="dxa"/>
                  <w:shd w:val="clear" w:color="auto" w:fill="auto"/>
                </w:tcPr>
                <w:p w14:paraId="3A7108A0"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w:t>
                  </w:r>
                </w:p>
                <w:p w14:paraId="1D64AB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3A1640BA"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02BDE6C2"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4A4A4305"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1DF9E68B"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D02C50" w:rsidRPr="00E7583C" w14:paraId="5BCC5F0B" w14:textId="77777777" w:rsidTr="00F34202">
              <w:trPr>
                <w:trHeight w:val="483"/>
              </w:trPr>
              <w:tc>
                <w:tcPr>
                  <w:tcW w:w="408" w:type="dxa"/>
                  <w:shd w:val="clear" w:color="auto" w:fill="auto"/>
                  <w:noWrap/>
                </w:tcPr>
                <w:p w14:paraId="176729D7" w14:textId="73AD77EA" w:rsidR="00D02C50" w:rsidRPr="00E7583C" w:rsidRDefault="0038521A" w:rsidP="00511A4E">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r w:rsidR="00D02C50">
                    <w:rPr>
                      <w:rFonts w:ascii="Times New Roman" w:hAnsi="Times New Roman" w:cs="Times New Roman"/>
                      <w:sz w:val="18"/>
                      <w:szCs w:val="18"/>
                    </w:rPr>
                    <w:t>.</w:t>
                  </w:r>
                </w:p>
              </w:tc>
              <w:tc>
                <w:tcPr>
                  <w:tcW w:w="2126" w:type="dxa"/>
                  <w:tcBorders>
                    <w:top w:val="single" w:sz="4" w:space="0" w:color="auto"/>
                    <w:left w:val="single" w:sz="4" w:space="0" w:color="auto"/>
                    <w:bottom w:val="single" w:sz="4" w:space="0" w:color="auto"/>
                    <w:right w:val="single" w:sz="4" w:space="0" w:color="auto"/>
                  </w:tcBorders>
                  <w:noWrap/>
                </w:tcPr>
                <w:p w14:paraId="6BBCDFF0" w14:textId="630BACF0" w:rsidR="00D02C50" w:rsidRPr="00D02C50" w:rsidRDefault="00D02C50" w:rsidP="0038521A">
                  <w:pPr>
                    <w:spacing w:line="240" w:lineRule="auto"/>
                    <w:rPr>
                      <w:rFonts w:ascii="Times New Roman" w:hAnsi="Times New Roman" w:cs="Times New Roman"/>
                      <w:sz w:val="20"/>
                      <w:szCs w:val="20"/>
                    </w:rPr>
                  </w:pPr>
                  <w:r w:rsidRPr="00D02C50">
                    <w:rPr>
                      <w:rFonts w:ascii="Times New Roman" w:hAnsi="Times New Roman" w:cs="Times New Roman"/>
                      <w:sz w:val="20"/>
                      <w:szCs w:val="20"/>
                    </w:rPr>
                    <w:t>Дизельне паливо Євро 5</w:t>
                  </w:r>
                  <w:r w:rsidRPr="00D02C50">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29A01E86" w14:textId="7175CB04" w:rsidR="00D02C50" w:rsidRPr="00511A4E" w:rsidRDefault="00D02C50" w:rsidP="00511A4E">
                  <w:pPr>
                    <w:spacing w:line="240" w:lineRule="auto"/>
                    <w:jc w:val="center"/>
                    <w:rPr>
                      <w:rFonts w:ascii="Times New Roman" w:hAnsi="Times New Roman" w:cs="Times New Roman"/>
                      <w:sz w:val="18"/>
                      <w:szCs w:val="18"/>
                    </w:rPr>
                  </w:pPr>
                  <w:r w:rsidRPr="00511A4E">
                    <w:rPr>
                      <w:rFonts w:ascii="Times New Roman" w:hAnsi="Times New Roman" w:cs="Times New Roman"/>
                      <w:sz w:val="18"/>
                      <w:szCs w:val="18"/>
                    </w:rPr>
                    <w:t>ДК 021:2015 - 09134200-9 - Дизельне паливо</w:t>
                  </w:r>
                </w:p>
              </w:tc>
              <w:tc>
                <w:tcPr>
                  <w:tcW w:w="993" w:type="dxa"/>
                  <w:tcBorders>
                    <w:top w:val="single" w:sz="4" w:space="0" w:color="auto"/>
                    <w:left w:val="single" w:sz="4" w:space="0" w:color="auto"/>
                    <w:bottom w:val="single" w:sz="4" w:space="0" w:color="auto"/>
                    <w:right w:val="single" w:sz="4" w:space="0" w:color="auto"/>
                  </w:tcBorders>
                </w:tcPr>
                <w:p w14:paraId="7EBFCFF2" w14:textId="745BDFE2" w:rsidR="00D02C50" w:rsidRPr="00511A4E" w:rsidRDefault="00D02C50" w:rsidP="00511A4E">
                  <w:pPr>
                    <w:spacing w:line="240" w:lineRule="auto"/>
                    <w:jc w:val="center"/>
                    <w:rPr>
                      <w:rFonts w:ascii="Times New Roman" w:hAnsi="Times New Roman" w:cs="Times New Roman"/>
                      <w:color w:val="auto"/>
                      <w:sz w:val="20"/>
                      <w:szCs w:val="20"/>
                    </w:rPr>
                  </w:pPr>
                  <w:r w:rsidRPr="00511A4E">
                    <w:rPr>
                      <w:rFonts w:ascii="Times New Roman" w:hAnsi="Times New Roman" w:cs="Times New Roman"/>
                      <w:sz w:val="20"/>
                      <w:szCs w:val="20"/>
                    </w:rPr>
                    <w:t xml:space="preserve">літри </w:t>
                  </w:r>
                </w:p>
              </w:tc>
              <w:tc>
                <w:tcPr>
                  <w:tcW w:w="1134" w:type="dxa"/>
                  <w:tcBorders>
                    <w:top w:val="single" w:sz="4" w:space="0" w:color="auto"/>
                    <w:left w:val="single" w:sz="4" w:space="0" w:color="auto"/>
                    <w:bottom w:val="single" w:sz="4" w:space="0" w:color="auto"/>
                    <w:right w:val="single" w:sz="4" w:space="0" w:color="auto"/>
                  </w:tcBorders>
                </w:tcPr>
                <w:p w14:paraId="1F996BE1" w14:textId="7D819636" w:rsidR="00D02C50" w:rsidRPr="00D02C50" w:rsidRDefault="0096502A" w:rsidP="00511A4E">
                  <w:pPr>
                    <w:jc w:val="center"/>
                    <w:rPr>
                      <w:rFonts w:ascii="Times New Roman" w:hAnsi="Times New Roman" w:cs="Times New Roman"/>
                      <w:color w:val="auto"/>
                      <w:sz w:val="20"/>
                      <w:szCs w:val="20"/>
                    </w:rPr>
                  </w:pPr>
                  <w:r>
                    <w:rPr>
                      <w:rFonts w:ascii="Times New Roman" w:hAnsi="Times New Roman" w:cs="Times New Roman"/>
                      <w:color w:val="auto"/>
                      <w:sz w:val="20"/>
                      <w:szCs w:val="20"/>
                    </w:rPr>
                    <w:t>25 467</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389372B0"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0719D" w:rsidRPr="00C0719D">
              <w:rPr>
                <w:rFonts w:ascii="Times New Roman" w:hAnsi="Times New Roman" w:cs="Times New Roman"/>
                <w:sz w:val="24"/>
                <w:szCs w:val="24"/>
              </w:rPr>
              <w:t xml:space="preserve">Розрахунки за Товар (партію </w:t>
            </w:r>
            <w:proofErr w:type="spellStart"/>
            <w:r w:rsidR="00C0719D" w:rsidRPr="00C0719D">
              <w:rPr>
                <w:rFonts w:ascii="Times New Roman" w:hAnsi="Times New Roman" w:cs="Times New Roman"/>
                <w:sz w:val="24"/>
                <w:szCs w:val="24"/>
              </w:rPr>
              <w:t>тoвapy</w:t>
            </w:r>
            <w:proofErr w:type="spellEnd"/>
            <w:r w:rsidR="00C0719D" w:rsidRPr="00C0719D">
              <w:rPr>
                <w:rFonts w:ascii="Times New Roman" w:hAnsi="Times New Roman" w:cs="Times New Roman"/>
                <w:sz w:val="24"/>
                <w:szCs w:val="24"/>
              </w:rPr>
              <w:t>) Покупець здійснює по факту поставки Товару протягом 10 робочих днів згідно накладної</w:t>
            </w:r>
            <w:r w:rsidR="00511A4E" w:rsidRPr="00511A4E">
              <w:rPr>
                <w:rFonts w:ascii="Times New Roman" w:hAnsi="Times New Roman" w:cs="Times New Roman"/>
                <w:sz w:val="24"/>
                <w:szCs w:val="24"/>
              </w:rPr>
              <w:t>.</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6A2CF653"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87123" w:rsidRPr="00632631">
              <w:rPr>
                <w:rFonts w:ascii="Times New Roman" w:hAnsi="Times New Roman" w:cs="Times New Roman"/>
                <w:color w:val="auto"/>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bookmarkStart w:id="31" w:name="_Hlk129594321"/>
          </w:p>
          <w:bookmarkEnd w:id="31"/>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3B959BCF"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lastRenderedPageBreak/>
              <w:t xml:space="preserve">-  </w:t>
            </w:r>
            <w:bookmarkStart w:id="33" w:name="_Hlk135745916"/>
            <w:r w:rsidR="00511A4E" w:rsidRPr="00511A4E">
              <w:rPr>
                <w:rFonts w:ascii="Times New Roman" w:hAnsi="Times New Roman" w:cs="Times New Roman"/>
                <w:bCs/>
                <w:sz w:val="24"/>
                <w:szCs w:val="24"/>
              </w:rPr>
              <w:t>протягом 20</w:t>
            </w:r>
            <w:r w:rsidR="0038521A">
              <w:rPr>
                <w:rFonts w:ascii="Times New Roman" w:hAnsi="Times New Roman" w:cs="Times New Roman"/>
                <w:bCs/>
                <w:sz w:val="24"/>
                <w:szCs w:val="24"/>
              </w:rPr>
              <w:t>24 року, до 31 грудня 2024</w:t>
            </w:r>
            <w:r w:rsidR="00511A4E">
              <w:rPr>
                <w:rFonts w:ascii="Times New Roman" w:hAnsi="Times New Roman" w:cs="Times New Roman"/>
                <w:bCs/>
                <w:sz w:val="24"/>
                <w:szCs w:val="24"/>
              </w:rPr>
              <w:t xml:space="preserve"> року</w:t>
            </w:r>
            <w:r w:rsidR="004B4F3E" w:rsidRPr="00632631">
              <w:rPr>
                <w:rFonts w:ascii="Times New Roman" w:hAnsi="Times New Roman" w:cs="Times New Roman"/>
                <w:bCs/>
                <w:sz w:val="24"/>
                <w:szCs w:val="24"/>
              </w:rPr>
              <w:t>.</w:t>
            </w:r>
            <w:bookmarkEnd w:id="32"/>
          </w:p>
          <w:bookmarkEnd w:id="33"/>
          <w:p w14:paraId="793E8CA1" w14:textId="6DB715E0"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A87B45" w:rsidRPr="00A87B45">
              <w:rPr>
                <w:rFonts w:ascii="Times New Roman" w:hAnsi="Times New Roman" w:cs="Times New Roman"/>
                <w:sz w:val="24"/>
                <w:szCs w:val="24"/>
              </w:rPr>
              <w:t>73000, Україна, Херсонська область, місто Херсон, стаціонарна мережа автозаправних станцій (АЗС), та АЗС для заправки автотранспорту по всій території України</w:t>
            </w:r>
            <w:r w:rsidR="003D11EA" w:rsidRPr="003D11EA">
              <w:rPr>
                <w:rFonts w:ascii="Times New Roman" w:hAnsi="Times New Roman" w:cs="Times New Roman"/>
                <w:sz w:val="24"/>
                <w:szCs w:val="24"/>
              </w:rPr>
              <w:t>.</w:t>
            </w:r>
          </w:p>
          <w:p w14:paraId="3C1C407B" w14:textId="6FA5E54F" w:rsidR="007308B4" w:rsidRPr="00632631"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викладені в додатку 3 до тендерної документації.</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038F3B9" w14:textId="48C12A7E" w:rsidR="00C27B83" w:rsidRDefault="00FB1E61" w:rsidP="008A4FB2">
            <w:pPr>
              <w:spacing w:line="240" w:lineRule="auto"/>
              <w:ind w:firstLine="601"/>
              <w:jc w:val="both"/>
              <w:rPr>
                <w:rFonts w:ascii="Times New Roman" w:hAnsi="Times New Roman" w:cs="Times New Roman"/>
                <w:bCs/>
                <w:color w:val="auto"/>
                <w:sz w:val="24"/>
                <w:szCs w:val="24"/>
              </w:rPr>
            </w:pPr>
            <w:r w:rsidRPr="00632631">
              <w:rPr>
                <w:rFonts w:ascii="Times New Roman" w:hAnsi="Times New Roman" w:cs="Times New Roman"/>
                <w:sz w:val="24"/>
                <w:szCs w:val="24"/>
              </w:rPr>
              <w:t xml:space="preserve">- </w:t>
            </w:r>
            <w:r w:rsidR="00511A4E" w:rsidRPr="00511A4E">
              <w:rPr>
                <w:rFonts w:ascii="Times New Roman" w:hAnsi="Times New Roman" w:cs="Times New Roman"/>
                <w:bCs/>
                <w:sz w:val="24"/>
                <w:szCs w:val="24"/>
              </w:rPr>
              <w:t>товар повинен відповідати діючим державним стандартам, а саме:</w:t>
            </w:r>
            <w:r w:rsidR="00511A4E" w:rsidRPr="00511A4E">
              <w:rPr>
                <w:rFonts w:ascii="Times New Roman" w:hAnsi="Times New Roman" w:cs="Times New Roman"/>
                <w:b/>
                <w:bCs/>
                <w:sz w:val="24"/>
                <w:szCs w:val="24"/>
              </w:rPr>
              <w:t xml:space="preserve"> </w:t>
            </w:r>
            <w:r w:rsidR="00C27B83" w:rsidRPr="00C27B83">
              <w:rPr>
                <w:rFonts w:ascii="Times New Roman" w:hAnsi="Times New Roman" w:cs="Times New Roman"/>
                <w:bCs/>
                <w:color w:val="auto"/>
                <w:sz w:val="24"/>
                <w:szCs w:val="24"/>
              </w:rPr>
              <w:t xml:space="preserve">ДСТУ 7688:2015 «Паливо </w:t>
            </w:r>
            <w:r w:rsidR="00A87B45">
              <w:rPr>
                <w:rFonts w:ascii="Times New Roman" w:hAnsi="Times New Roman" w:cs="Times New Roman"/>
                <w:bCs/>
                <w:color w:val="auto"/>
                <w:sz w:val="24"/>
                <w:szCs w:val="24"/>
              </w:rPr>
              <w:t xml:space="preserve">дизельне Євро. Технічні умови» </w:t>
            </w:r>
            <w:r w:rsidR="00C27B83" w:rsidRPr="00C27B83">
              <w:rPr>
                <w:rFonts w:ascii="Times New Roman" w:hAnsi="Times New Roman" w:cs="Times New Roman"/>
                <w:bCs/>
                <w:color w:val="auto"/>
                <w:sz w:val="24"/>
                <w:szCs w:val="24"/>
              </w:rPr>
              <w:t>та Постанови КМУ від 01 серпня 2013 року № 927 «Технічний регламент щодо вимог до автомобільних бензинів, дизельного, суднових та котельних палив» (зі змінами),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7BECCCC" w14:textId="43EAD121"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1E75F20B" w:rsidR="003E30A3" w:rsidRPr="00632631" w:rsidRDefault="003E30A3" w:rsidP="008A4FB2">
            <w:pPr>
              <w:spacing w:line="240" w:lineRule="auto"/>
              <w:ind w:firstLine="601"/>
              <w:jc w:val="both"/>
              <w:rPr>
                <w:rFonts w:ascii="Times New Roman" w:eastAsia="Arial" w:hAnsi="Times New Roman" w:cs="Times New Roman"/>
                <w:sz w:val="24"/>
                <w:szCs w:val="24"/>
              </w:rPr>
            </w:pPr>
            <w:r w:rsidRPr="00632631">
              <w:rPr>
                <w:rFonts w:ascii="Times New Roman" w:eastAsia="Arial" w:hAnsi="Times New Roman" w:cs="Times New Roman"/>
                <w:sz w:val="24"/>
                <w:szCs w:val="24"/>
              </w:rPr>
              <w:t>Цей Договір набирає чинності з моменту підписання Сторонами, скріплення печаткам</w:t>
            </w:r>
            <w:r w:rsidR="00A87B45">
              <w:rPr>
                <w:rFonts w:ascii="Times New Roman" w:eastAsia="Arial" w:hAnsi="Times New Roman" w:cs="Times New Roman"/>
                <w:sz w:val="24"/>
                <w:szCs w:val="24"/>
              </w:rPr>
              <w:t>и Сторін і діє до 31 грудня 2024</w:t>
            </w:r>
            <w:r w:rsidRPr="00632631">
              <w:rPr>
                <w:rFonts w:ascii="Times New Roman" w:eastAsia="Arial" w:hAnsi="Times New Roman" w:cs="Times New Roman"/>
                <w:sz w:val="24"/>
                <w:szCs w:val="24"/>
              </w:rPr>
              <w:t xml:space="preserve"> року включно, але в будь-якому випадку до повного виконання Сторонами своїх зобов’язань.</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6B490278"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021C99" w:rsidRDefault="00021C99">
      <w:r>
        <w:separator/>
      </w:r>
    </w:p>
  </w:endnote>
  <w:endnote w:type="continuationSeparator" w:id="0">
    <w:p w14:paraId="20179B32" w14:textId="77777777" w:rsidR="00021C99" w:rsidRDefault="0002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021C99" w:rsidRDefault="00021C99">
      <w:r>
        <w:separator/>
      </w:r>
    </w:p>
  </w:footnote>
  <w:footnote w:type="continuationSeparator" w:id="0">
    <w:p w14:paraId="11E313C9" w14:textId="77777777" w:rsidR="00021C99" w:rsidRDefault="0002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021C99" w:rsidRDefault="00021C99"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021C99" w:rsidRDefault="00021C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021C99" w:rsidRDefault="00021C99"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3648D7">
      <w:rPr>
        <w:rStyle w:val="a4"/>
        <w:rFonts w:cs="Arial"/>
        <w:noProof/>
      </w:rPr>
      <w:t>21</w:t>
    </w:r>
    <w:r>
      <w:rPr>
        <w:rStyle w:val="a4"/>
        <w:rFonts w:cs="Arial"/>
      </w:rPr>
      <w:fldChar w:fldCharType="end"/>
    </w:r>
  </w:p>
  <w:p w14:paraId="543B42B4" w14:textId="77777777" w:rsidR="00021C99" w:rsidRDefault="00021C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1C99"/>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87F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3A"/>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8D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521A"/>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0DA8"/>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1EB"/>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502A"/>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1512"/>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86E"/>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4E7C"/>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786"/>
    <w:rsid w:val="00A30F54"/>
    <w:rsid w:val="00A31192"/>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87B45"/>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BF7657"/>
    <w:rsid w:val="00C0028E"/>
    <w:rsid w:val="00C00653"/>
    <w:rsid w:val="00C0078D"/>
    <w:rsid w:val="00C035DC"/>
    <w:rsid w:val="00C03DCC"/>
    <w:rsid w:val="00C04032"/>
    <w:rsid w:val="00C05813"/>
    <w:rsid w:val="00C068C6"/>
    <w:rsid w:val="00C0719D"/>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2DE8"/>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C50"/>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87E59"/>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40B1"/>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6DA9"/>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BE05A273-498B-41D9-B8FA-A28939E6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18E5-9685-4CA4-97A6-26B9ED3D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28</Pages>
  <Words>42362</Words>
  <Characters>24147</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66377</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217</cp:revision>
  <cp:lastPrinted>2020-07-09T11:32:00Z</cp:lastPrinted>
  <dcterms:created xsi:type="dcterms:W3CDTF">2023-01-23T14:26:00Z</dcterms:created>
  <dcterms:modified xsi:type="dcterms:W3CDTF">2024-03-04T13:54:00Z</dcterms:modified>
</cp:coreProperties>
</file>