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8B2A4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3600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8B2A43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три тисячі шістсот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Pr="008B2A43" w:rsidRDefault="008B2A43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</w:pPr>
      <w:r w:rsidRPr="008B2A4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Навушники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D408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32</w:t>
      </w:r>
      <w:r>
        <w:rPr>
          <w:rFonts w:ascii="Times New Roman" w:hAnsi="Times New Roman"/>
          <w:b/>
          <w:i/>
          <w:color w:val="000000"/>
          <w:sz w:val="24"/>
          <w:szCs w:val="24"/>
          <w:lang w:val="en-US" w:eastAsia="ru-RU"/>
        </w:rPr>
        <w:t>342200-4</w:t>
      </w:r>
    </w:p>
    <w:p w:rsidR="00993D10" w:rsidRDefault="008B2A43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Навушники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KOSS UR 10iK Over-Ear 3.5 mm</w:t>
      </w:r>
      <w:r w:rsid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CB5597" w:rsidRPr="00D767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 xml:space="preserve">6 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B2A43">
        <w:rPr>
          <w:rFonts w:ascii="Times New Roman" w:hAnsi="Times New Roman"/>
          <w:i/>
          <w:color w:val="000000"/>
          <w:sz w:val="24"/>
          <w:szCs w:val="24"/>
          <w:lang w:eastAsia="ru-RU"/>
        </w:rPr>
        <w:t>6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8B2A43">
        <w:rPr>
          <w:rFonts w:ascii="Times New Roman" w:hAnsi="Times New Roman"/>
          <w:i/>
          <w:color w:val="000000"/>
          <w:sz w:val="24"/>
          <w:szCs w:val="24"/>
        </w:rPr>
        <w:t>29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813192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8B2A43" w:rsidRPr="008B2A43" w:rsidRDefault="008B2A43" w:rsidP="008B2A43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B2A4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Навушники , код ДК 021:2015 – 32342200-4</w:t>
      </w:r>
    </w:p>
    <w:p w:rsidR="008B2A43" w:rsidRPr="008B2A43" w:rsidRDefault="008B2A43" w:rsidP="008B2A43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B2A4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Навушники KOSS UR 10iK </w:t>
      </w:r>
      <w:proofErr w:type="spellStart"/>
      <w:r w:rsidRPr="008B2A43">
        <w:rPr>
          <w:rFonts w:ascii="Times New Roman" w:hAnsi="Times New Roman"/>
          <w:i/>
          <w:color w:val="000000"/>
          <w:sz w:val="24"/>
          <w:szCs w:val="24"/>
          <w:lang w:eastAsia="ru-RU"/>
        </w:rPr>
        <w:t>Over-Ear</w:t>
      </w:r>
      <w:proofErr w:type="spellEnd"/>
      <w:r w:rsidRPr="008B2A4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3.5 mm  – 6 штук;</w:t>
      </w:r>
    </w:p>
    <w:p w:rsidR="00A83A7C" w:rsidRDefault="00A83A7C" w:rsidP="008B2A43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4BF7">
        <w:rPr>
          <w:rFonts w:ascii="Times New Roman" w:hAnsi="Times New Roman"/>
          <w:sz w:val="24"/>
          <w:szCs w:val="24"/>
        </w:rPr>
        <w:t>1. </w:t>
      </w:r>
      <w:r w:rsidRPr="00D94BF7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D94BF7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D94BF7">
        <w:rPr>
          <w:rFonts w:ascii="Times New Roman" w:hAnsi="Times New Roman"/>
          <w:color w:val="000000"/>
          <w:sz w:val="24"/>
          <w:szCs w:val="24"/>
        </w:rPr>
        <w:t xml:space="preserve"> повинен поставити </w:t>
      </w:r>
      <w:r w:rsidR="003222C3" w:rsidRPr="00D94BF7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D94BF7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встановлює</w:t>
      </w:r>
      <w:r>
        <w:rPr>
          <w:rFonts w:ascii="Times New Roman" w:hAnsi="Times New Roman"/>
          <w:color w:val="000000"/>
          <w:sz w:val="24"/>
          <w:szCs w:val="24"/>
        </w:rPr>
        <w:t xml:space="preserve">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8B2A43" w:rsidP="004464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2A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Навушники KOSS UR 10iK </w:t>
            </w:r>
            <w:proofErr w:type="spellStart"/>
            <w:r w:rsidRPr="008B2A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Over-Ear</w:t>
            </w:r>
            <w:proofErr w:type="spellEnd"/>
            <w:r w:rsidRPr="008B2A4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3.5 mm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8B2A43" w:rsidRDefault="008B2A43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lastRenderedPageBreak/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8B2A43">
      <w:pPr>
        <w:widowControl w:val="0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 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9" w:name="_Hlk144821776"/>
      <w:bookmarkStart w:id="10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1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8B2A43" w:rsidRPr="008B2A4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Навушники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1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9"/>
      <w:r w:rsidR="008B2A43" w:rsidRPr="008B2A4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32342200-4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0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lastRenderedPageBreak/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Default="00D94BF7" w:rsidP="00D94BF7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</w:t>
      </w:r>
      <w:r w:rsidR="00597839"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 xml:space="preserve"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3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A63B93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2"/>
      <w:bookmarkEnd w:id="13"/>
      <w:bookmarkEnd w:id="14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C50995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522D9B" w:rsidRPr="00522D9B" w:rsidTr="00D94BF7">
        <w:trPr>
          <w:jc w:val="center"/>
        </w:trPr>
        <w:tc>
          <w:tcPr>
            <w:tcW w:w="617" w:type="dxa"/>
            <w:vAlign w:val="center"/>
          </w:tcPr>
          <w:p w:rsidR="00522D9B" w:rsidRPr="00522D9B" w:rsidRDefault="00522D9B" w:rsidP="00522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22D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522D9B" w:rsidRPr="00522D9B" w:rsidRDefault="008B2A43" w:rsidP="00DD04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2A43">
              <w:rPr>
                <w:rFonts w:ascii="Times New Roman" w:hAnsi="Times New Roman"/>
                <w:i/>
                <w:sz w:val="24"/>
                <w:szCs w:val="24"/>
              </w:rPr>
              <w:t xml:space="preserve">Навушники KOSS UR 10iK </w:t>
            </w:r>
            <w:proofErr w:type="spellStart"/>
            <w:r w:rsidRPr="008B2A43">
              <w:rPr>
                <w:rFonts w:ascii="Times New Roman" w:hAnsi="Times New Roman"/>
                <w:i/>
                <w:sz w:val="24"/>
                <w:szCs w:val="24"/>
              </w:rPr>
              <w:t>Over-Ear</w:t>
            </w:r>
            <w:proofErr w:type="spellEnd"/>
            <w:r w:rsidRPr="008B2A43">
              <w:rPr>
                <w:rFonts w:ascii="Times New Roman" w:hAnsi="Times New Roman"/>
                <w:i/>
                <w:sz w:val="24"/>
                <w:szCs w:val="24"/>
              </w:rPr>
              <w:t xml:space="preserve"> 3.5 mm  </w:t>
            </w:r>
          </w:p>
        </w:tc>
        <w:tc>
          <w:tcPr>
            <w:tcW w:w="850" w:type="dxa"/>
            <w:vAlign w:val="center"/>
          </w:tcPr>
          <w:p w:rsidR="00522D9B" w:rsidRPr="00522D9B" w:rsidRDefault="00522D9B" w:rsidP="00D94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2D9B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522D9B" w:rsidRPr="008B2A43" w:rsidRDefault="008B2A43" w:rsidP="00D94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522D9B" w:rsidRPr="00522D9B" w:rsidRDefault="00522D9B" w:rsidP="00522D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22D9B" w:rsidRPr="00522D9B" w:rsidRDefault="00522D9B" w:rsidP="00522D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4BF7" w:rsidRDefault="00D94BF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4BF7" w:rsidRPr="002F1B72" w:rsidRDefault="00D94BF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A63B93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63B93" w:rsidRDefault="00A63B93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63B93" w:rsidRDefault="00A63B93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63B93" w:rsidRDefault="00A63B93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63B93" w:rsidRDefault="00A63B93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63B93" w:rsidRDefault="00A63B93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15" w:name="_GoBack"/>
      <w:bookmarkEnd w:id="15"/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BF7" w:rsidRDefault="00D94B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BF7" w:rsidRDefault="00D94B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7C4F37" w:rsidRPr="007C4F37" w:rsidTr="00522D9B">
        <w:tc>
          <w:tcPr>
            <w:tcW w:w="568" w:type="dxa"/>
            <w:noWrap/>
            <w:vAlign w:val="center"/>
          </w:tcPr>
          <w:p w:rsidR="007C4F37" w:rsidRPr="007C4F37" w:rsidRDefault="007C4F37" w:rsidP="007C4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  <w:vAlign w:val="center"/>
          </w:tcPr>
          <w:p w:rsidR="007C4F37" w:rsidRPr="007C4F37" w:rsidRDefault="008B2A43" w:rsidP="008B2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43">
              <w:rPr>
                <w:rFonts w:ascii="Times New Roman" w:hAnsi="Times New Roman"/>
                <w:sz w:val="24"/>
                <w:szCs w:val="24"/>
              </w:rPr>
              <w:t xml:space="preserve">Навушники </w:t>
            </w:r>
          </w:p>
        </w:tc>
        <w:tc>
          <w:tcPr>
            <w:tcW w:w="3260" w:type="dxa"/>
          </w:tcPr>
          <w:p w:rsidR="007C4F37" w:rsidRPr="007C4F37" w:rsidRDefault="008B2A43" w:rsidP="00D94B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KOSS UR 10iK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Over-Ear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3.5 mm</w:t>
            </w:r>
          </w:p>
        </w:tc>
        <w:tc>
          <w:tcPr>
            <w:tcW w:w="1985" w:type="dxa"/>
            <w:noWrap/>
            <w:vAlign w:val="center"/>
          </w:tcPr>
          <w:p w:rsidR="007C4F37" w:rsidRPr="007C4F37" w:rsidRDefault="007C4F37" w:rsidP="007C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F37" w:rsidRPr="007C4F37" w:rsidRDefault="007C4F37" w:rsidP="007C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A63B93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55" w:rsidRDefault="00774C55">
      <w:pPr>
        <w:spacing w:after="0" w:line="240" w:lineRule="auto"/>
      </w:pPr>
      <w:r>
        <w:separator/>
      </w:r>
    </w:p>
  </w:endnote>
  <w:endnote w:type="continuationSeparator" w:id="0">
    <w:p w:rsidR="00774C55" w:rsidRDefault="0077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B93">
      <w:rPr>
        <w:noProof/>
      </w:rPr>
      <w:t>10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55" w:rsidRDefault="00774C55">
      <w:pPr>
        <w:spacing w:after="0" w:line="240" w:lineRule="auto"/>
      </w:pPr>
      <w:r>
        <w:separator/>
      </w:r>
    </w:p>
  </w:footnote>
  <w:footnote w:type="continuationSeparator" w:id="0">
    <w:p w:rsidR="00774C55" w:rsidRDefault="0077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44A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D4083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13192"/>
    <w:rsid w:val="00822486"/>
    <w:rsid w:val="0082386F"/>
    <w:rsid w:val="00837C5A"/>
    <w:rsid w:val="00847863"/>
    <w:rsid w:val="0085123D"/>
    <w:rsid w:val="008566AF"/>
    <w:rsid w:val="00867BC4"/>
    <w:rsid w:val="00887F2C"/>
    <w:rsid w:val="0089470E"/>
    <w:rsid w:val="008A1304"/>
    <w:rsid w:val="008A41BE"/>
    <w:rsid w:val="008A48AE"/>
    <w:rsid w:val="008B2A43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3B93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C03C78"/>
    <w:rsid w:val="00C11EF0"/>
    <w:rsid w:val="00C126A4"/>
    <w:rsid w:val="00C16D3C"/>
    <w:rsid w:val="00C265EE"/>
    <w:rsid w:val="00C304D1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379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76718"/>
    <w:rsid w:val="00D80694"/>
    <w:rsid w:val="00D82F53"/>
    <w:rsid w:val="00D864BB"/>
    <w:rsid w:val="00D93E07"/>
    <w:rsid w:val="00D942E8"/>
    <w:rsid w:val="00D94BF7"/>
    <w:rsid w:val="00D96DE7"/>
    <w:rsid w:val="00D97899"/>
    <w:rsid w:val="00DA29AC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82DB8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7877-AFA8-44C3-BC47-7874F76F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14739</Words>
  <Characters>8402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7</cp:revision>
  <dcterms:created xsi:type="dcterms:W3CDTF">2024-01-31T09:24:00Z</dcterms:created>
  <dcterms:modified xsi:type="dcterms:W3CDTF">2024-02-21T11:16:00Z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