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236F7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236F74">
        <w:rPr>
          <w:sz w:val="18"/>
          <w:szCs w:val="18"/>
        </w:rPr>
        <w:t>4</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CB78C1" w:rsidRPr="00CB78C1">
        <w:rPr>
          <w:sz w:val="18"/>
          <w:szCs w:val="18"/>
        </w:rPr>
        <w:t>муфт</w:t>
      </w:r>
      <w:r w:rsidR="00CB78C1">
        <w:rPr>
          <w:sz w:val="18"/>
          <w:szCs w:val="18"/>
        </w:rPr>
        <w:t>у</w:t>
      </w:r>
      <w:r w:rsidR="00CB78C1" w:rsidRPr="00CB78C1">
        <w:rPr>
          <w:sz w:val="18"/>
          <w:szCs w:val="18"/>
        </w:rPr>
        <w:t xml:space="preserve"> з різьбою ППР </w:t>
      </w:r>
      <w:r w:rsidR="00CB78C1" w:rsidRPr="00CB78C1">
        <w:rPr>
          <w:sz w:val="18"/>
          <w:szCs w:val="18"/>
          <w:lang w:val="en-US"/>
        </w:rPr>
        <w:t>d</w:t>
      </w:r>
      <w:r w:rsidR="00CB78C1" w:rsidRPr="00CB78C1">
        <w:rPr>
          <w:sz w:val="18"/>
          <w:szCs w:val="18"/>
        </w:rPr>
        <w:t>20х1/2</w:t>
      </w:r>
      <w:r w:rsidR="00CB78C1" w:rsidRPr="00CB78C1">
        <w:rPr>
          <w:bCs/>
          <w:kern w:val="36"/>
          <w:sz w:val="18"/>
          <w:szCs w:val="18"/>
        </w:rPr>
        <w:t xml:space="preserve">, трійник </w:t>
      </w:r>
      <w:r w:rsidR="00CB78C1" w:rsidRPr="00CB78C1">
        <w:rPr>
          <w:sz w:val="18"/>
          <w:szCs w:val="18"/>
        </w:rPr>
        <w:t xml:space="preserve">ППР </w:t>
      </w:r>
      <w:r w:rsidR="00CB78C1" w:rsidRPr="00CB78C1">
        <w:rPr>
          <w:sz w:val="18"/>
          <w:szCs w:val="18"/>
          <w:lang w:val="en-US"/>
        </w:rPr>
        <w:t>d</w:t>
      </w:r>
      <w:r w:rsidR="00CB78C1" w:rsidRPr="00CB78C1">
        <w:rPr>
          <w:sz w:val="18"/>
          <w:szCs w:val="18"/>
        </w:rPr>
        <w:t xml:space="preserve">20, </w:t>
      </w:r>
      <w:r w:rsidR="00CB78C1" w:rsidRPr="00CB78C1">
        <w:rPr>
          <w:bCs/>
          <w:kern w:val="36"/>
          <w:sz w:val="18"/>
          <w:szCs w:val="18"/>
        </w:rPr>
        <w:t>к</w:t>
      </w:r>
      <w:r w:rsidR="00CB78C1">
        <w:rPr>
          <w:bCs/>
          <w:kern w:val="36"/>
          <w:sz w:val="18"/>
          <w:szCs w:val="18"/>
        </w:rPr>
        <w:t>оліно</w:t>
      </w:r>
      <w:r w:rsidR="00CB78C1" w:rsidRPr="00CB78C1">
        <w:rPr>
          <w:bCs/>
          <w:kern w:val="36"/>
          <w:sz w:val="18"/>
          <w:szCs w:val="18"/>
        </w:rPr>
        <w:t xml:space="preserve"> 90</w:t>
      </w:r>
      <w:r w:rsidR="00CB78C1" w:rsidRPr="00CB78C1">
        <w:rPr>
          <w:bCs/>
          <w:kern w:val="36"/>
          <w:sz w:val="18"/>
          <w:szCs w:val="18"/>
          <w:vertAlign w:val="superscript"/>
        </w:rPr>
        <w:t>0</w:t>
      </w:r>
      <w:r w:rsidR="00CB78C1" w:rsidRPr="00CB78C1">
        <w:rPr>
          <w:bCs/>
          <w:kern w:val="36"/>
          <w:sz w:val="18"/>
          <w:szCs w:val="18"/>
        </w:rPr>
        <w:t xml:space="preserve"> 20 ПП РР</w:t>
      </w:r>
      <w:r w:rsidR="00CB78C1" w:rsidRPr="00CB78C1">
        <w:rPr>
          <w:bCs/>
          <w:kern w:val="36"/>
          <w:sz w:val="18"/>
          <w:szCs w:val="18"/>
          <w:lang w:val="en-US"/>
        </w:rPr>
        <w:t>U</w:t>
      </w:r>
      <w:r w:rsidR="00CB78C1" w:rsidRPr="00CB78C1">
        <w:rPr>
          <w:bCs/>
          <w:kern w:val="36"/>
          <w:sz w:val="18"/>
          <w:szCs w:val="18"/>
        </w:rPr>
        <w:t>01, колін</w:t>
      </w:r>
      <w:r w:rsidR="00CB78C1">
        <w:rPr>
          <w:bCs/>
          <w:kern w:val="36"/>
          <w:sz w:val="18"/>
          <w:szCs w:val="18"/>
        </w:rPr>
        <w:t>о</w:t>
      </w:r>
      <w:r w:rsidR="00CB78C1" w:rsidRPr="00CB78C1">
        <w:rPr>
          <w:bCs/>
          <w:kern w:val="36"/>
          <w:sz w:val="18"/>
          <w:szCs w:val="18"/>
        </w:rPr>
        <w:t xml:space="preserve"> 45</w:t>
      </w:r>
      <w:r w:rsidR="00CB78C1" w:rsidRPr="00CB78C1">
        <w:rPr>
          <w:bCs/>
          <w:kern w:val="36"/>
          <w:sz w:val="18"/>
          <w:szCs w:val="18"/>
          <w:vertAlign w:val="superscript"/>
        </w:rPr>
        <w:t>0</w:t>
      </w:r>
      <w:r w:rsidR="00CB78C1" w:rsidRPr="00CB78C1">
        <w:rPr>
          <w:bCs/>
          <w:kern w:val="36"/>
          <w:sz w:val="18"/>
          <w:szCs w:val="18"/>
        </w:rPr>
        <w:t xml:space="preserve"> 20 ПП РР</w:t>
      </w:r>
      <w:r w:rsidR="00CB78C1" w:rsidRPr="00CB78C1">
        <w:rPr>
          <w:bCs/>
          <w:kern w:val="36"/>
          <w:sz w:val="18"/>
          <w:szCs w:val="18"/>
          <w:lang w:val="en-US"/>
        </w:rPr>
        <w:t>U</w:t>
      </w:r>
      <w:r w:rsidR="00CB78C1" w:rsidRPr="00CB78C1">
        <w:rPr>
          <w:bCs/>
          <w:kern w:val="36"/>
          <w:sz w:val="18"/>
          <w:szCs w:val="18"/>
        </w:rPr>
        <w:t>50,  т</w:t>
      </w:r>
      <w:r w:rsidR="00CB78C1" w:rsidRPr="00CB78C1">
        <w:rPr>
          <w:sz w:val="18"/>
          <w:szCs w:val="18"/>
        </w:rPr>
        <w:t>руб</w:t>
      </w:r>
      <w:r w:rsidR="00CB78C1">
        <w:rPr>
          <w:sz w:val="18"/>
          <w:szCs w:val="18"/>
        </w:rPr>
        <w:t>у</w:t>
      </w:r>
      <w:r w:rsidR="00CB78C1" w:rsidRPr="00CB78C1">
        <w:rPr>
          <w:sz w:val="18"/>
          <w:szCs w:val="18"/>
        </w:rPr>
        <w:t xml:space="preserve"> поліпропіленов</w:t>
      </w:r>
      <w:r w:rsidR="00CB78C1">
        <w:rPr>
          <w:sz w:val="18"/>
          <w:szCs w:val="18"/>
        </w:rPr>
        <w:t>у</w:t>
      </w:r>
      <w:r w:rsidR="00CB78C1" w:rsidRPr="00CB78C1">
        <w:rPr>
          <w:sz w:val="18"/>
          <w:szCs w:val="18"/>
        </w:rPr>
        <w:t xml:space="preserve"> 20</w:t>
      </w:r>
      <w:r w:rsidR="00CB78C1" w:rsidRPr="00CB78C1">
        <w:rPr>
          <w:sz w:val="18"/>
          <w:szCs w:val="18"/>
          <w:lang w:val="en-US"/>
        </w:rPr>
        <w:t>x</w:t>
      </w:r>
      <w:r w:rsidR="00CB78C1" w:rsidRPr="00CB78C1">
        <w:rPr>
          <w:sz w:val="18"/>
          <w:szCs w:val="18"/>
        </w:rPr>
        <w:t xml:space="preserve">3,4 </w:t>
      </w:r>
      <w:r w:rsidR="00CB78C1" w:rsidRPr="00CB78C1">
        <w:rPr>
          <w:sz w:val="18"/>
          <w:szCs w:val="18"/>
          <w:lang w:val="en-US"/>
        </w:rPr>
        <w:t>PN</w:t>
      </w:r>
      <w:r w:rsidR="00CB78C1" w:rsidRPr="00CB78C1">
        <w:rPr>
          <w:sz w:val="18"/>
          <w:szCs w:val="18"/>
        </w:rPr>
        <w:t>-20,  муфт</w:t>
      </w:r>
      <w:r w:rsidR="00CB78C1">
        <w:rPr>
          <w:sz w:val="18"/>
          <w:szCs w:val="18"/>
        </w:rPr>
        <w:t>у</w:t>
      </w:r>
      <w:r w:rsidR="00CB78C1" w:rsidRPr="00CB78C1">
        <w:rPr>
          <w:sz w:val="18"/>
          <w:szCs w:val="18"/>
        </w:rPr>
        <w:t xml:space="preserve"> редукційн</w:t>
      </w:r>
      <w:r w:rsidR="00CB78C1">
        <w:rPr>
          <w:sz w:val="18"/>
          <w:szCs w:val="18"/>
        </w:rPr>
        <w:t>у</w:t>
      </w:r>
      <w:r w:rsidR="00CB78C1" w:rsidRPr="00CB78C1">
        <w:rPr>
          <w:sz w:val="18"/>
          <w:szCs w:val="18"/>
        </w:rPr>
        <w:t xml:space="preserve"> </w:t>
      </w:r>
      <w:r w:rsidR="00CB78C1" w:rsidRPr="00CB78C1">
        <w:rPr>
          <w:bCs/>
          <w:kern w:val="36"/>
          <w:sz w:val="18"/>
          <w:szCs w:val="18"/>
        </w:rPr>
        <w:t>25х20 ПП РМ</w:t>
      </w:r>
      <w:r w:rsidR="00CB78C1" w:rsidRPr="00CB78C1">
        <w:rPr>
          <w:bCs/>
          <w:kern w:val="36"/>
          <w:sz w:val="18"/>
          <w:szCs w:val="18"/>
          <w:lang w:val="en-US"/>
        </w:rPr>
        <w:t>R</w:t>
      </w:r>
      <w:r w:rsidR="00CB78C1" w:rsidRPr="00CB78C1">
        <w:rPr>
          <w:bCs/>
          <w:kern w:val="36"/>
          <w:sz w:val="18"/>
          <w:szCs w:val="18"/>
        </w:rPr>
        <w:t>01</w:t>
      </w:r>
      <w:r w:rsidR="00CB78C1" w:rsidRPr="00CB78C1">
        <w:rPr>
          <w:bCs/>
          <w:kern w:val="36"/>
          <w:sz w:val="18"/>
          <w:szCs w:val="18"/>
        </w:rPr>
        <w:t xml:space="preserve"> </w:t>
      </w:r>
      <w:r w:rsidR="00C01AAD" w:rsidRPr="00F07F8E">
        <w:rPr>
          <w:sz w:val="18"/>
          <w:szCs w:val="18"/>
        </w:rPr>
        <w:t xml:space="preserve">за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347611" w:rsidRPr="00F07F8E">
        <w:rPr>
          <w:sz w:val="18"/>
          <w:szCs w:val="18"/>
        </w:rPr>
        <w:t>4416</w:t>
      </w:r>
      <w:r w:rsidR="00347611" w:rsidRPr="00F07F8E">
        <w:rPr>
          <w:rFonts w:eastAsia="Calibri"/>
          <w:bCs/>
          <w:sz w:val="18"/>
          <w:szCs w:val="18"/>
        </w:rPr>
        <w:t>0000-9 – Магістралі, трубопроводи, труби, обсадні труби, тюбінги та супутні вироби</w:t>
      </w:r>
      <w:r w:rsidR="00347611"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6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955"/>
        <w:gridCol w:w="1344"/>
        <w:gridCol w:w="1155"/>
        <w:gridCol w:w="577"/>
        <w:gridCol w:w="937"/>
        <w:gridCol w:w="1400"/>
        <w:gridCol w:w="1400"/>
      </w:tblGrid>
      <w:tr w:rsidR="00B96462" w:rsidRPr="00A74807" w:rsidTr="00236F74">
        <w:tc>
          <w:tcPr>
            <w:tcW w:w="460" w:type="pct"/>
            <w:vAlign w:val="center"/>
          </w:tcPr>
          <w:p w:rsidR="00B96462" w:rsidRPr="00A74807" w:rsidRDefault="00B96462" w:rsidP="003A412C">
            <w:pPr>
              <w:jc w:val="center"/>
              <w:rPr>
                <w:sz w:val="18"/>
                <w:szCs w:val="18"/>
              </w:rPr>
            </w:pPr>
            <w:r w:rsidRPr="00A74807">
              <w:rPr>
                <w:sz w:val="18"/>
                <w:szCs w:val="18"/>
              </w:rPr>
              <w:t>№ п/п</w:t>
            </w:r>
          </w:p>
        </w:tc>
        <w:tc>
          <w:tcPr>
            <w:tcW w:w="101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9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9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299"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8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25"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25"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CB78C1" w:rsidRPr="00A74807" w:rsidTr="00236F74">
        <w:trPr>
          <w:trHeight w:val="85"/>
        </w:trPr>
        <w:tc>
          <w:tcPr>
            <w:tcW w:w="460" w:type="pct"/>
            <w:vAlign w:val="center"/>
          </w:tcPr>
          <w:p w:rsidR="00CB78C1" w:rsidRPr="00A74807" w:rsidRDefault="00CB78C1" w:rsidP="00CB78C1">
            <w:pPr>
              <w:pStyle w:val="a7"/>
              <w:ind w:left="495"/>
              <w:rPr>
                <w:sz w:val="18"/>
                <w:szCs w:val="18"/>
              </w:rPr>
            </w:pPr>
            <w:r>
              <w:rPr>
                <w:sz w:val="18"/>
                <w:szCs w:val="18"/>
              </w:rPr>
              <w:t>1</w:t>
            </w:r>
          </w:p>
        </w:tc>
        <w:tc>
          <w:tcPr>
            <w:tcW w:w="1012" w:type="pct"/>
          </w:tcPr>
          <w:p w:rsidR="00CB78C1" w:rsidRPr="00CB78C1" w:rsidRDefault="00CB78C1" w:rsidP="00CB78C1">
            <w:pPr>
              <w:widowControl w:val="0"/>
              <w:shd w:val="clear" w:color="auto" w:fill="FFFFFF"/>
              <w:suppressAutoHyphens/>
              <w:textAlignment w:val="baseline"/>
              <w:rPr>
                <w:rFonts w:eastAsia="Arial"/>
                <w:color w:val="000000"/>
                <w:kern w:val="36"/>
                <w:sz w:val="18"/>
                <w:szCs w:val="18"/>
                <w:lang w:bidi="en-US"/>
              </w:rPr>
            </w:pPr>
            <w:r w:rsidRPr="00CB78C1">
              <w:rPr>
                <w:sz w:val="18"/>
                <w:szCs w:val="18"/>
              </w:rPr>
              <w:t xml:space="preserve">Муфта з різьбою ППР </w:t>
            </w:r>
            <w:r w:rsidRPr="00CB78C1">
              <w:rPr>
                <w:sz w:val="18"/>
                <w:szCs w:val="18"/>
                <w:lang w:val="en-US"/>
              </w:rPr>
              <w:t>d</w:t>
            </w:r>
            <w:r w:rsidRPr="00CB78C1">
              <w:rPr>
                <w:sz w:val="18"/>
                <w:szCs w:val="18"/>
              </w:rPr>
              <w:t>20х1/2</w:t>
            </w:r>
          </w:p>
        </w:tc>
        <w:tc>
          <w:tcPr>
            <w:tcW w:w="696" w:type="pct"/>
          </w:tcPr>
          <w:p w:rsidR="00CB78C1" w:rsidRPr="00E8018B" w:rsidRDefault="00CB78C1" w:rsidP="00CB78C1">
            <w:pPr>
              <w:jc w:val="center"/>
              <w:rPr>
                <w:bCs/>
                <w:kern w:val="32"/>
                <w:sz w:val="18"/>
                <w:szCs w:val="18"/>
                <w:lang w:bidi="en-US"/>
              </w:rPr>
            </w:pPr>
          </w:p>
        </w:tc>
        <w:tc>
          <w:tcPr>
            <w:tcW w:w="598" w:type="pct"/>
          </w:tcPr>
          <w:p w:rsidR="00CB78C1" w:rsidRPr="00E8018B" w:rsidRDefault="00CB78C1" w:rsidP="00CB78C1">
            <w:pPr>
              <w:jc w:val="center"/>
              <w:rPr>
                <w:bCs/>
                <w:kern w:val="32"/>
                <w:sz w:val="18"/>
                <w:szCs w:val="18"/>
                <w:lang w:bidi="en-US"/>
              </w:rPr>
            </w:pPr>
          </w:p>
        </w:tc>
        <w:tc>
          <w:tcPr>
            <w:tcW w:w="299" w:type="pct"/>
          </w:tcPr>
          <w:p w:rsidR="00CB78C1" w:rsidRPr="00B01465" w:rsidRDefault="00CB78C1"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CB78C1" w:rsidP="00CB78C1">
            <w:pPr>
              <w:widowControl w:val="0"/>
              <w:suppressAutoHyphens/>
              <w:jc w:val="center"/>
              <w:rPr>
                <w:rFonts w:eastAsia="Arial"/>
                <w:sz w:val="18"/>
                <w:szCs w:val="18"/>
                <w:lang w:bidi="en-US"/>
              </w:rPr>
            </w:pPr>
            <w:r w:rsidRPr="00CB78C1">
              <w:rPr>
                <w:rFonts w:eastAsia="Arial"/>
                <w:sz w:val="18"/>
                <w:szCs w:val="18"/>
                <w:lang w:bidi="en-US"/>
              </w:rPr>
              <w:t>12</w:t>
            </w:r>
          </w:p>
          <w:p w:rsidR="00CB78C1" w:rsidRPr="00CB78C1" w:rsidRDefault="00CB78C1" w:rsidP="00CB78C1">
            <w:pPr>
              <w:widowControl w:val="0"/>
              <w:suppressAutoHyphens/>
              <w:jc w:val="center"/>
              <w:rPr>
                <w:rFonts w:eastAsia="Arial"/>
                <w:sz w:val="18"/>
                <w:szCs w:val="18"/>
                <w:lang w:bidi="en-US"/>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r>
              <w:rPr>
                <w:sz w:val="18"/>
                <w:szCs w:val="18"/>
              </w:rPr>
              <w:t>2</w:t>
            </w:r>
          </w:p>
        </w:tc>
        <w:tc>
          <w:tcPr>
            <w:tcW w:w="1012" w:type="pct"/>
          </w:tcPr>
          <w:p w:rsidR="00CB78C1" w:rsidRPr="00CB78C1" w:rsidRDefault="00CB78C1" w:rsidP="00CB78C1">
            <w:pPr>
              <w:widowControl w:val="0"/>
              <w:shd w:val="clear" w:color="auto" w:fill="FFFFFF"/>
              <w:suppressAutoHyphens/>
              <w:textAlignment w:val="baseline"/>
              <w:rPr>
                <w:sz w:val="18"/>
                <w:szCs w:val="18"/>
              </w:rPr>
            </w:pPr>
            <w:r w:rsidRPr="00CB78C1">
              <w:rPr>
                <w:bCs/>
                <w:kern w:val="36"/>
                <w:sz w:val="18"/>
                <w:szCs w:val="18"/>
              </w:rPr>
              <w:t xml:space="preserve">Трійник </w:t>
            </w:r>
            <w:r w:rsidRPr="00CB78C1">
              <w:rPr>
                <w:sz w:val="18"/>
                <w:szCs w:val="18"/>
              </w:rPr>
              <w:t xml:space="preserve">ППР </w:t>
            </w:r>
            <w:r w:rsidRPr="00CB78C1">
              <w:rPr>
                <w:sz w:val="18"/>
                <w:szCs w:val="18"/>
                <w:lang w:val="en-US"/>
              </w:rPr>
              <w:t>d</w:t>
            </w:r>
            <w:r w:rsidRPr="00CB78C1">
              <w:rPr>
                <w:sz w:val="18"/>
                <w:szCs w:val="18"/>
              </w:rPr>
              <w:t>20</w:t>
            </w:r>
          </w:p>
          <w:p w:rsidR="00CB78C1" w:rsidRPr="00CB78C1" w:rsidRDefault="00CB78C1" w:rsidP="00CB78C1">
            <w:pPr>
              <w:widowControl w:val="0"/>
              <w:shd w:val="clear" w:color="auto" w:fill="FFFFFF"/>
              <w:suppressAutoHyphens/>
              <w:textAlignment w:val="baseline"/>
              <w:rPr>
                <w:rFonts w:eastAsia="Arial"/>
                <w:bCs/>
                <w:sz w:val="18"/>
                <w:szCs w:val="18"/>
                <w:shd w:val="clear" w:color="auto" w:fill="FFFFFF"/>
                <w:lang w:bidi="en-US"/>
              </w:rPr>
            </w:pPr>
          </w:p>
        </w:tc>
        <w:tc>
          <w:tcPr>
            <w:tcW w:w="696" w:type="pct"/>
          </w:tcPr>
          <w:p w:rsidR="00CB78C1" w:rsidRPr="00E8018B" w:rsidRDefault="00CB78C1" w:rsidP="00CB78C1">
            <w:pPr>
              <w:jc w:val="center"/>
              <w:rPr>
                <w:bCs/>
                <w:kern w:val="32"/>
                <w:sz w:val="18"/>
                <w:szCs w:val="18"/>
                <w:lang w:bidi="en-US"/>
              </w:rPr>
            </w:pPr>
          </w:p>
        </w:tc>
        <w:tc>
          <w:tcPr>
            <w:tcW w:w="598" w:type="pct"/>
          </w:tcPr>
          <w:p w:rsidR="00CB78C1" w:rsidRPr="00E8018B" w:rsidRDefault="00CB78C1" w:rsidP="00CB78C1">
            <w:pPr>
              <w:jc w:val="center"/>
              <w:rPr>
                <w:bCs/>
                <w:kern w:val="32"/>
                <w:sz w:val="18"/>
                <w:szCs w:val="18"/>
                <w:lang w:bidi="en-US"/>
              </w:rPr>
            </w:pPr>
          </w:p>
        </w:tc>
        <w:tc>
          <w:tcPr>
            <w:tcW w:w="299" w:type="pct"/>
          </w:tcPr>
          <w:p w:rsidR="00CB78C1" w:rsidRPr="00B01465" w:rsidRDefault="00CB78C1"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CB78C1" w:rsidP="00CB78C1">
            <w:pPr>
              <w:widowControl w:val="0"/>
              <w:suppressAutoHyphens/>
              <w:jc w:val="center"/>
              <w:rPr>
                <w:rFonts w:eastAsia="Arial"/>
                <w:sz w:val="18"/>
                <w:szCs w:val="18"/>
                <w:lang w:bidi="en-US"/>
              </w:rPr>
            </w:pPr>
            <w:r w:rsidRPr="00CB78C1">
              <w:rPr>
                <w:rFonts w:eastAsia="Arial"/>
                <w:sz w:val="18"/>
                <w:szCs w:val="18"/>
                <w:lang w:bidi="en-US"/>
              </w:rPr>
              <w:t>12</w:t>
            </w:r>
          </w:p>
          <w:p w:rsidR="00CB78C1" w:rsidRPr="00CB78C1" w:rsidRDefault="00CB78C1" w:rsidP="00CB78C1">
            <w:pPr>
              <w:widowControl w:val="0"/>
              <w:suppressAutoHyphens/>
              <w:jc w:val="center"/>
              <w:rPr>
                <w:rFonts w:eastAsia="Arial"/>
                <w:sz w:val="18"/>
                <w:szCs w:val="18"/>
                <w:lang w:bidi="en-US"/>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r>
              <w:rPr>
                <w:sz w:val="18"/>
                <w:szCs w:val="18"/>
              </w:rPr>
              <w:t>3</w:t>
            </w:r>
          </w:p>
        </w:tc>
        <w:tc>
          <w:tcPr>
            <w:tcW w:w="1012" w:type="pct"/>
          </w:tcPr>
          <w:p w:rsidR="00CB78C1" w:rsidRPr="00CB78C1" w:rsidRDefault="00CB78C1" w:rsidP="00CB78C1">
            <w:pPr>
              <w:widowControl w:val="0"/>
              <w:shd w:val="clear" w:color="auto" w:fill="FFFFFF"/>
              <w:suppressAutoHyphens/>
              <w:textAlignment w:val="baseline"/>
              <w:rPr>
                <w:bCs/>
                <w:kern w:val="36"/>
                <w:sz w:val="18"/>
                <w:szCs w:val="18"/>
              </w:rPr>
            </w:pPr>
            <w:r w:rsidRPr="00CB78C1">
              <w:rPr>
                <w:bCs/>
                <w:kern w:val="36"/>
                <w:sz w:val="18"/>
                <w:szCs w:val="18"/>
              </w:rPr>
              <w:t>Коліно  90</w:t>
            </w:r>
            <w:r w:rsidRPr="00CB78C1">
              <w:rPr>
                <w:bCs/>
                <w:kern w:val="36"/>
                <w:sz w:val="18"/>
                <w:szCs w:val="18"/>
                <w:vertAlign w:val="superscript"/>
              </w:rPr>
              <w:t>0</w:t>
            </w:r>
            <w:r w:rsidRPr="00CB78C1">
              <w:rPr>
                <w:bCs/>
                <w:kern w:val="36"/>
                <w:sz w:val="18"/>
                <w:szCs w:val="18"/>
              </w:rPr>
              <w:t xml:space="preserve"> 20 ПП РР</w:t>
            </w:r>
            <w:r w:rsidRPr="00CB78C1">
              <w:rPr>
                <w:bCs/>
                <w:kern w:val="36"/>
                <w:sz w:val="18"/>
                <w:szCs w:val="18"/>
                <w:lang w:val="en-US"/>
              </w:rPr>
              <w:t>U</w:t>
            </w:r>
            <w:r w:rsidRPr="00CB78C1">
              <w:rPr>
                <w:bCs/>
                <w:kern w:val="36"/>
                <w:sz w:val="18"/>
                <w:szCs w:val="18"/>
              </w:rPr>
              <w:t>01</w:t>
            </w:r>
          </w:p>
          <w:p w:rsidR="00CB78C1" w:rsidRPr="00CB78C1" w:rsidRDefault="00CB78C1" w:rsidP="00CB78C1">
            <w:pPr>
              <w:widowControl w:val="0"/>
              <w:shd w:val="clear" w:color="auto" w:fill="FFFFFF"/>
              <w:suppressAutoHyphens/>
              <w:textAlignment w:val="baseline"/>
              <w:rPr>
                <w:rFonts w:eastAsia="Arial"/>
                <w:bCs/>
                <w:sz w:val="18"/>
                <w:szCs w:val="18"/>
                <w:shd w:val="clear" w:color="auto" w:fill="FFFFFF"/>
                <w:lang w:bidi="en-US"/>
              </w:rPr>
            </w:pPr>
          </w:p>
        </w:tc>
        <w:tc>
          <w:tcPr>
            <w:tcW w:w="696" w:type="pct"/>
          </w:tcPr>
          <w:p w:rsidR="00CB78C1" w:rsidRPr="00E8018B" w:rsidRDefault="00CB78C1" w:rsidP="00CB78C1">
            <w:pPr>
              <w:jc w:val="center"/>
              <w:rPr>
                <w:sz w:val="18"/>
                <w:szCs w:val="18"/>
              </w:rPr>
            </w:pPr>
          </w:p>
        </w:tc>
        <w:tc>
          <w:tcPr>
            <w:tcW w:w="598" w:type="pct"/>
          </w:tcPr>
          <w:p w:rsidR="00CB78C1" w:rsidRPr="00E8018B" w:rsidRDefault="00CB78C1" w:rsidP="00CB78C1">
            <w:pPr>
              <w:jc w:val="center"/>
              <w:rPr>
                <w:sz w:val="18"/>
                <w:szCs w:val="18"/>
              </w:rPr>
            </w:pPr>
          </w:p>
        </w:tc>
        <w:tc>
          <w:tcPr>
            <w:tcW w:w="299" w:type="pct"/>
          </w:tcPr>
          <w:p w:rsidR="00CB78C1" w:rsidRPr="00B01465" w:rsidRDefault="00CB78C1"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CB78C1" w:rsidP="00CB78C1">
            <w:pPr>
              <w:widowControl w:val="0"/>
              <w:suppressAutoHyphens/>
              <w:jc w:val="center"/>
              <w:rPr>
                <w:rFonts w:eastAsia="Arial"/>
                <w:sz w:val="18"/>
                <w:szCs w:val="18"/>
                <w:lang w:bidi="en-US"/>
              </w:rPr>
            </w:pPr>
            <w:r w:rsidRPr="00CB78C1">
              <w:rPr>
                <w:rFonts w:eastAsia="Arial"/>
                <w:sz w:val="18"/>
                <w:szCs w:val="18"/>
                <w:lang w:bidi="en-US"/>
              </w:rPr>
              <w:t>24</w:t>
            </w: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r>
              <w:rPr>
                <w:sz w:val="18"/>
                <w:szCs w:val="18"/>
              </w:rPr>
              <w:t>4</w:t>
            </w:r>
          </w:p>
        </w:tc>
        <w:tc>
          <w:tcPr>
            <w:tcW w:w="1012" w:type="pct"/>
          </w:tcPr>
          <w:p w:rsidR="00CB78C1" w:rsidRPr="00CB78C1" w:rsidRDefault="00CB78C1" w:rsidP="00CB78C1">
            <w:pPr>
              <w:widowControl w:val="0"/>
              <w:suppressAutoHyphens/>
              <w:rPr>
                <w:bCs/>
                <w:kern w:val="36"/>
                <w:sz w:val="18"/>
                <w:szCs w:val="18"/>
              </w:rPr>
            </w:pPr>
            <w:r w:rsidRPr="00CB78C1">
              <w:rPr>
                <w:bCs/>
                <w:kern w:val="36"/>
                <w:sz w:val="18"/>
                <w:szCs w:val="18"/>
              </w:rPr>
              <w:t>Коліно 45</w:t>
            </w:r>
            <w:r w:rsidRPr="00CB78C1">
              <w:rPr>
                <w:bCs/>
                <w:kern w:val="36"/>
                <w:sz w:val="18"/>
                <w:szCs w:val="18"/>
                <w:vertAlign w:val="superscript"/>
              </w:rPr>
              <w:t>0</w:t>
            </w:r>
            <w:r w:rsidRPr="00CB78C1">
              <w:rPr>
                <w:bCs/>
                <w:kern w:val="36"/>
                <w:sz w:val="18"/>
                <w:szCs w:val="18"/>
              </w:rPr>
              <w:t xml:space="preserve"> 20 ПП РР</w:t>
            </w:r>
            <w:r w:rsidRPr="00CB78C1">
              <w:rPr>
                <w:bCs/>
                <w:kern w:val="36"/>
                <w:sz w:val="18"/>
                <w:szCs w:val="18"/>
                <w:lang w:val="en-US"/>
              </w:rPr>
              <w:t>U</w:t>
            </w:r>
            <w:r w:rsidRPr="00CB78C1">
              <w:rPr>
                <w:bCs/>
                <w:kern w:val="36"/>
                <w:sz w:val="18"/>
                <w:szCs w:val="18"/>
              </w:rPr>
              <w:t xml:space="preserve">50 </w:t>
            </w:r>
          </w:p>
          <w:p w:rsidR="00CB78C1" w:rsidRPr="00CB78C1" w:rsidRDefault="00CB78C1" w:rsidP="00CB78C1">
            <w:pPr>
              <w:widowControl w:val="0"/>
              <w:shd w:val="clear" w:color="auto" w:fill="FFFFFF"/>
              <w:suppressAutoHyphens/>
              <w:textAlignment w:val="baseline"/>
              <w:rPr>
                <w:rFonts w:eastAsia="Arial"/>
                <w:kern w:val="36"/>
                <w:sz w:val="18"/>
                <w:szCs w:val="18"/>
                <w:lang w:bidi="en-US"/>
              </w:rPr>
            </w:pPr>
          </w:p>
        </w:tc>
        <w:tc>
          <w:tcPr>
            <w:tcW w:w="696" w:type="pct"/>
          </w:tcPr>
          <w:p w:rsidR="00CB78C1" w:rsidRPr="00E8018B" w:rsidRDefault="00CB78C1" w:rsidP="00CB78C1">
            <w:pPr>
              <w:jc w:val="center"/>
              <w:rPr>
                <w:sz w:val="18"/>
                <w:szCs w:val="18"/>
              </w:rPr>
            </w:pPr>
          </w:p>
        </w:tc>
        <w:tc>
          <w:tcPr>
            <w:tcW w:w="598" w:type="pct"/>
          </w:tcPr>
          <w:p w:rsidR="00CB78C1" w:rsidRPr="00E8018B" w:rsidRDefault="00CB78C1" w:rsidP="00CB78C1">
            <w:pPr>
              <w:jc w:val="center"/>
              <w:rPr>
                <w:sz w:val="18"/>
                <w:szCs w:val="18"/>
              </w:rPr>
            </w:pPr>
          </w:p>
        </w:tc>
        <w:tc>
          <w:tcPr>
            <w:tcW w:w="299" w:type="pct"/>
          </w:tcPr>
          <w:p w:rsidR="00CB78C1" w:rsidRPr="00B01465" w:rsidRDefault="00CB78C1"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CB78C1" w:rsidP="00CB78C1">
            <w:pPr>
              <w:widowControl w:val="0"/>
              <w:suppressAutoHyphens/>
              <w:jc w:val="center"/>
              <w:rPr>
                <w:rFonts w:eastAsia="Arial"/>
                <w:sz w:val="18"/>
                <w:szCs w:val="18"/>
                <w:lang w:bidi="en-US"/>
              </w:rPr>
            </w:pPr>
            <w:r w:rsidRPr="00CB78C1">
              <w:rPr>
                <w:rFonts w:eastAsia="Arial"/>
                <w:sz w:val="18"/>
                <w:szCs w:val="18"/>
                <w:lang w:bidi="en-US"/>
              </w:rPr>
              <w:t>12</w:t>
            </w:r>
          </w:p>
          <w:p w:rsidR="00CB78C1" w:rsidRPr="00CB78C1" w:rsidRDefault="00CB78C1" w:rsidP="00CB78C1">
            <w:pPr>
              <w:widowControl w:val="0"/>
              <w:suppressAutoHyphens/>
              <w:jc w:val="center"/>
              <w:rPr>
                <w:rFonts w:eastAsia="Arial"/>
                <w:sz w:val="18"/>
                <w:szCs w:val="18"/>
                <w:lang w:bidi="en-US"/>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r>
              <w:rPr>
                <w:sz w:val="18"/>
                <w:szCs w:val="18"/>
              </w:rPr>
              <w:t>5</w:t>
            </w:r>
          </w:p>
        </w:tc>
        <w:tc>
          <w:tcPr>
            <w:tcW w:w="1012" w:type="pct"/>
          </w:tcPr>
          <w:p w:rsidR="00CB78C1" w:rsidRPr="00CB78C1" w:rsidRDefault="00CB78C1" w:rsidP="00CB78C1">
            <w:pPr>
              <w:textAlignment w:val="bottom"/>
              <w:rPr>
                <w:rFonts w:eastAsia="Arial"/>
                <w:kern w:val="36"/>
                <w:sz w:val="18"/>
                <w:szCs w:val="18"/>
                <w:lang w:bidi="en-US"/>
              </w:rPr>
            </w:pPr>
            <w:r w:rsidRPr="00CB78C1">
              <w:rPr>
                <w:sz w:val="18"/>
                <w:szCs w:val="18"/>
              </w:rPr>
              <w:t>Труба поліпропіленова 20</w:t>
            </w:r>
            <w:r w:rsidRPr="00CB78C1">
              <w:rPr>
                <w:sz w:val="18"/>
                <w:szCs w:val="18"/>
                <w:lang w:val="en-US"/>
              </w:rPr>
              <w:t>x</w:t>
            </w:r>
            <w:r w:rsidRPr="00CB78C1">
              <w:rPr>
                <w:sz w:val="18"/>
                <w:szCs w:val="18"/>
              </w:rPr>
              <w:t xml:space="preserve">3,4 </w:t>
            </w:r>
            <w:r w:rsidRPr="00CB78C1">
              <w:rPr>
                <w:sz w:val="18"/>
                <w:szCs w:val="18"/>
                <w:lang w:val="en-US"/>
              </w:rPr>
              <w:t>PN</w:t>
            </w:r>
            <w:r w:rsidRPr="00CB78C1">
              <w:rPr>
                <w:sz w:val="18"/>
                <w:szCs w:val="18"/>
              </w:rPr>
              <w:t xml:space="preserve">-20 </w:t>
            </w:r>
          </w:p>
        </w:tc>
        <w:tc>
          <w:tcPr>
            <w:tcW w:w="696" w:type="pct"/>
          </w:tcPr>
          <w:p w:rsidR="00CB78C1" w:rsidRPr="00E8018B" w:rsidRDefault="00CB78C1" w:rsidP="00CB78C1">
            <w:pPr>
              <w:jc w:val="center"/>
              <w:rPr>
                <w:sz w:val="18"/>
                <w:szCs w:val="18"/>
              </w:rPr>
            </w:pPr>
          </w:p>
        </w:tc>
        <w:tc>
          <w:tcPr>
            <w:tcW w:w="598" w:type="pct"/>
          </w:tcPr>
          <w:p w:rsidR="00CB78C1" w:rsidRPr="00E8018B" w:rsidRDefault="00CB78C1" w:rsidP="00CB78C1">
            <w:pPr>
              <w:jc w:val="center"/>
              <w:rPr>
                <w:sz w:val="18"/>
                <w:szCs w:val="18"/>
              </w:rPr>
            </w:pPr>
          </w:p>
        </w:tc>
        <w:tc>
          <w:tcPr>
            <w:tcW w:w="299" w:type="pct"/>
          </w:tcPr>
          <w:p w:rsidR="00CB78C1" w:rsidRPr="00B01465" w:rsidRDefault="00CB78C1"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CB78C1" w:rsidP="00CB78C1">
            <w:pPr>
              <w:widowControl w:val="0"/>
              <w:suppressAutoHyphens/>
              <w:jc w:val="center"/>
              <w:rPr>
                <w:rFonts w:eastAsia="Arial"/>
                <w:sz w:val="18"/>
                <w:szCs w:val="18"/>
                <w:lang w:bidi="en-US"/>
              </w:rPr>
            </w:pPr>
            <w:r w:rsidRPr="00CB78C1">
              <w:rPr>
                <w:rFonts w:eastAsia="Arial"/>
                <w:sz w:val="18"/>
                <w:szCs w:val="18"/>
                <w:lang w:bidi="en-US"/>
              </w:rPr>
              <w:t>4</w:t>
            </w: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r>
              <w:rPr>
                <w:sz w:val="18"/>
                <w:szCs w:val="18"/>
              </w:rPr>
              <w:t>6</w:t>
            </w:r>
          </w:p>
        </w:tc>
        <w:tc>
          <w:tcPr>
            <w:tcW w:w="1012" w:type="pct"/>
          </w:tcPr>
          <w:p w:rsidR="00CB78C1" w:rsidRPr="00CB78C1" w:rsidRDefault="00CB78C1" w:rsidP="00CB78C1">
            <w:pPr>
              <w:textAlignment w:val="bottom"/>
              <w:rPr>
                <w:sz w:val="18"/>
                <w:szCs w:val="18"/>
              </w:rPr>
            </w:pPr>
            <w:r w:rsidRPr="00CB78C1">
              <w:rPr>
                <w:sz w:val="18"/>
                <w:szCs w:val="18"/>
              </w:rPr>
              <w:t xml:space="preserve">Муфта редукційна </w:t>
            </w:r>
            <w:r w:rsidRPr="00CB78C1">
              <w:rPr>
                <w:bCs/>
                <w:kern w:val="36"/>
                <w:sz w:val="18"/>
                <w:szCs w:val="18"/>
              </w:rPr>
              <w:t>25х20 ПП РМ</w:t>
            </w:r>
            <w:r w:rsidRPr="00CB78C1">
              <w:rPr>
                <w:bCs/>
                <w:kern w:val="36"/>
                <w:sz w:val="18"/>
                <w:szCs w:val="18"/>
                <w:lang w:val="en-US"/>
              </w:rPr>
              <w:t>R</w:t>
            </w:r>
            <w:r w:rsidRPr="00CB78C1">
              <w:rPr>
                <w:bCs/>
                <w:kern w:val="36"/>
                <w:sz w:val="18"/>
                <w:szCs w:val="18"/>
              </w:rPr>
              <w:t xml:space="preserve">01 </w:t>
            </w:r>
          </w:p>
        </w:tc>
        <w:tc>
          <w:tcPr>
            <w:tcW w:w="696" w:type="pct"/>
          </w:tcPr>
          <w:p w:rsidR="00CB78C1" w:rsidRPr="00E8018B" w:rsidRDefault="00CB78C1" w:rsidP="00CB78C1">
            <w:pPr>
              <w:jc w:val="center"/>
              <w:rPr>
                <w:sz w:val="18"/>
                <w:szCs w:val="18"/>
              </w:rPr>
            </w:pPr>
          </w:p>
        </w:tc>
        <w:tc>
          <w:tcPr>
            <w:tcW w:w="598" w:type="pct"/>
          </w:tcPr>
          <w:p w:rsidR="00CB78C1" w:rsidRPr="00E8018B" w:rsidRDefault="00CB78C1" w:rsidP="00CB78C1">
            <w:pPr>
              <w:jc w:val="center"/>
              <w:rPr>
                <w:sz w:val="18"/>
                <w:szCs w:val="18"/>
              </w:rPr>
            </w:pPr>
          </w:p>
        </w:tc>
        <w:tc>
          <w:tcPr>
            <w:tcW w:w="299" w:type="pct"/>
          </w:tcPr>
          <w:p w:rsidR="00CB78C1" w:rsidRDefault="00CB78C1" w:rsidP="00CB78C1">
            <w:pPr>
              <w:jc w:val="center"/>
              <w:rPr>
                <w:bCs/>
                <w:kern w:val="32"/>
                <w:sz w:val="18"/>
                <w:szCs w:val="18"/>
                <w:lang w:bidi="en-US"/>
              </w:rPr>
            </w:pPr>
            <w:proofErr w:type="spellStart"/>
            <w:r>
              <w:rPr>
                <w:bCs/>
                <w:kern w:val="32"/>
                <w:sz w:val="18"/>
                <w:szCs w:val="18"/>
                <w:lang w:bidi="en-US"/>
              </w:rPr>
              <w:t>шт</w:t>
            </w:r>
            <w:proofErr w:type="spellEnd"/>
          </w:p>
        </w:tc>
        <w:tc>
          <w:tcPr>
            <w:tcW w:w="485" w:type="pct"/>
          </w:tcPr>
          <w:p w:rsidR="00CB78C1" w:rsidRPr="00CB78C1" w:rsidRDefault="00CB78C1" w:rsidP="00CB78C1">
            <w:pPr>
              <w:widowControl w:val="0"/>
              <w:suppressAutoHyphens/>
              <w:jc w:val="center"/>
              <w:rPr>
                <w:rFonts w:eastAsia="Arial"/>
                <w:sz w:val="18"/>
                <w:szCs w:val="18"/>
                <w:lang w:bidi="en-US"/>
              </w:rPr>
            </w:pPr>
            <w:r w:rsidRPr="00CB78C1">
              <w:rPr>
                <w:rFonts w:eastAsia="Arial"/>
                <w:sz w:val="18"/>
                <w:szCs w:val="18"/>
                <w:lang w:bidi="en-US"/>
              </w:rPr>
              <w:t>12</w:t>
            </w: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p>
        </w:tc>
        <w:tc>
          <w:tcPr>
            <w:tcW w:w="1012" w:type="pct"/>
          </w:tcPr>
          <w:p w:rsidR="00CB78C1" w:rsidRPr="00200E2B" w:rsidRDefault="00CB78C1" w:rsidP="00CB78C1">
            <w:r>
              <w:t>Всього</w:t>
            </w:r>
          </w:p>
        </w:tc>
        <w:tc>
          <w:tcPr>
            <w:tcW w:w="696" w:type="pct"/>
          </w:tcPr>
          <w:p w:rsidR="00CB78C1" w:rsidRDefault="00CB78C1" w:rsidP="00CB78C1">
            <w:pPr>
              <w:jc w:val="center"/>
              <w:rPr>
                <w:sz w:val="18"/>
                <w:szCs w:val="18"/>
              </w:rPr>
            </w:pPr>
          </w:p>
        </w:tc>
        <w:tc>
          <w:tcPr>
            <w:tcW w:w="598" w:type="pct"/>
          </w:tcPr>
          <w:p w:rsidR="00CB78C1" w:rsidRDefault="00CB78C1" w:rsidP="00CB78C1">
            <w:pPr>
              <w:jc w:val="center"/>
              <w:rPr>
                <w:sz w:val="18"/>
                <w:szCs w:val="18"/>
              </w:rPr>
            </w:pPr>
          </w:p>
        </w:tc>
        <w:tc>
          <w:tcPr>
            <w:tcW w:w="299" w:type="pct"/>
            <w:vAlign w:val="center"/>
          </w:tcPr>
          <w:p w:rsidR="00CB78C1" w:rsidRDefault="00CB78C1" w:rsidP="00CB78C1">
            <w:pPr>
              <w:jc w:val="center"/>
              <w:rPr>
                <w:sz w:val="18"/>
                <w:szCs w:val="18"/>
              </w:rPr>
            </w:pPr>
          </w:p>
        </w:tc>
        <w:tc>
          <w:tcPr>
            <w:tcW w:w="48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F90C85" w:rsidRPr="00A74807" w:rsidRDefault="00F90C85" w:rsidP="00F90C85">
      <w:pPr>
        <w:jc w:val="center"/>
        <w:rPr>
          <w:b/>
          <w:bCs/>
          <w:sz w:val="18"/>
          <w:szCs w:val="18"/>
        </w:rPr>
      </w:pPr>
      <w:r w:rsidRPr="00A74807">
        <w:rPr>
          <w:b/>
          <w:bCs/>
          <w:sz w:val="18"/>
          <w:szCs w:val="18"/>
        </w:rPr>
        <w:t>2. ЯКІСТЬ ТОВАРУ.</w:t>
      </w:r>
    </w:p>
    <w:p w:rsidR="00F90C85" w:rsidRPr="00FC6D24" w:rsidRDefault="00F90C85" w:rsidP="003808DA">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3808DA">
      <w:pPr>
        <w:ind w:right="-1"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3808DA">
      <w:pPr>
        <w:ind w:right="-1"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F90C85">
      <w:pPr>
        <w:ind w:firstLine="709"/>
        <w:jc w:val="both"/>
        <w:rPr>
          <w:b/>
          <w:bCs/>
          <w:sz w:val="18"/>
          <w:szCs w:val="18"/>
        </w:rPr>
      </w:pPr>
    </w:p>
    <w:p w:rsidR="00F90C85" w:rsidRPr="00A74807" w:rsidRDefault="00F90C85" w:rsidP="00F90C85">
      <w:pPr>
        <w:ind w:firstLine="709"/>
        <w:jc w:val="center"/>
        <w:rPr>
          <w:b/>
          <w:bCs/>
          <w:sz w:val="18"/>
          <w:szCs w:val="18"/>
        </w:rPr>
      </w:pPr>
      <w:r w:rsidRPr="00A74807">
        <w:rPr>
          <w:b/>
          <w:bCs/>
          <w:sz w:val="18"/>
          <w:szCs w:val="18"/>
        </w:rPr>
        <w:t>3. ЦІНА ДОГОВОРУ.</w:t>
      </w:r>
    </w:p>
    <w:p w:rsidR="00F90C85" w:rsidRPr="00A74807" w:rsidRDefault="003808DA" w:rsidP="003808DA">
      <w:pPr>
        <w:ind w:right="-1"/>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F90C85">
      <w:pPr>
        <w:ind w:firstLine="709"/>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4. ПОРЯДОК ЗДІЙСНЕННЯ ОПЛАТИ</w:t>
      </w:r>
    </w:p>
    <w:p w:rsidR="00D17472" w:rsidRDefault="003808DA"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D17472"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D17472">
      <w:pPr>
        <w:ind w:right="-1"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5. ПОСТАВКА ТОВАРУ</w:t>
      </w:r>
    </w:p>
    <w:p w:rsidR="00F90C85" w:rsidRDefault="003808DA" w:rsidP="00D17472">
      <w:pPr>
        <w:ind w:firstLine="282"/>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D17472">
      <w:pPr>
        <w:ind w:firstLine="709"/>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D17472">
      <w:pPr>
        <w:ind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D17472">
      <w:pPr>
        <w:ind w:right="-993" w:firstLine="567"/>
        <w:jc w:val="both"/>
        <w:rPr>
          <w:color w:val="000000"/>
          <w:sz w:val="18"/>
          <w:szCs w:val="18"/>
        </w:rPr>
      </w:pPr>
      <w:r w:rsidRPr="00A74807">
        <w:rPr>
          <w:color w:val="000000"/>
          <w:sz w:val="18"/>
          <w:szCs w:val="18"/>
        </w:rPr>
        <w:t>6.1. ПОКУПЕЦЬ зобов'язаний:</w:t>
      </w:r>
    </w:p>
    <w:p w:rsidR="00F90C85" w:rsidRPr="00A74807" w:rsidRDefault="00F90C85" w:rsidP="00D1747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435B36">
      <w:pPr>
        <w:ind w:right="-993" w:firstLine="567"/>
        <w:jc w:val="both"/>
        <w:rPr>
          <w:color w:val="000000"/>
          <w:sz w:val="18"/>
          <w:szCs w:val="18"/>
        </w:rPr>
      </w:pPr>
      <w:r w:rsidRPr="00A74807">
        <w:rPr>
          <w:color w:val="000000"/>
          <w:sz w:val="18"/>
          <w:szCs w:val="18"/>
        </w:rPr>
        <w:t>6.2. ПОКУПЕЦЬ має право:</w:t>
      </w:r>
    </w:p>
    <w:p w:rsidR="00F90C85" w:rsidRPr="00A74807" w:rsidRDefault="00F90C85" w:rsidP="000922AC">
      <w:pPr>
        <w:ind w:left="1134" w:right="-993" w:firstLine="426"/>
        <w:jc w:val="both"/>
        <w:rPr>
          <w:color w:val="000000"/>
          <w:sz w:val="18"/>
          <w:szCs w:val="18"/>
        </w:rPr>
      </w:pPr>
      <w:r w:rsidRPr="00A74807">
        <w:rPr>
          <w:color w:val="000000"/>
          <w:sz w:val="18"/>
          <w:szCs w:val="18"/>
        </w:rPr>
        <w:lastRenderedPageBreak/>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F90C85" w:rsidP="000922AC">
      <w:pPr>
        <w:ind w:left="1134" w:right="-993" w:firstLine="426"/>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F90C85" w:rsidRPr="00A74807" w:rsidRDefault="00F90C85" w:rsidP="000922AC">
      <w:pPr>
        <w:ind w:left="1134" w:right="-993" w:firstLine="426"/>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w:t>
      </w:r>
      <w:r w:rsidR="00D17472">
        <w:rPr>
          <w:color w:val="000000"/>
          <w:sz w:val="18"/>
          <w:szCs w:val="18"/>
        </w:rPr>
        <w:t xml:space="preserve">еального фінансування видатків. </w:t>
      </w:r>
      <w:r w:rsidRPr="00A74807">
        <w:rPr>
          <w:color w:val="000000"/>
          <w:sz w:val="18"/>
          <w:szCs w:val="18"/>
        </w:rPr>
        <w:t>У такому разі СТОРОНИ вносять відповідні зміни до цього Договору.</w:t>
      </w:r>
    </w:p>
    <w:p w:rsidR="00F90C85" w:rsidRPr="00A74807" w:rsidRDefault="00F90C85" w:rsidP="000922AC">
      <w:pPr>
        <w:ind w:left="1134" w:right="-993" w:firstLine="426"/>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sidR="00D17472">
        <w:rPr>
          <w:color w:val="000000"/>
          <w:sz w:val="18"/>
          <w:szCs w:val="18"/>
        </w:rPr>
        <w:t xml:space="preserve"> </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F90C85" w:rsidP="000922AC">
      <w:pPr>
        <w:ind w:left="1134" w:right="-993" w:firstLine="426"/>
        <w:jc w:val="both"/>
        <w:rPr>
          <w:color w:val="000000"/>
          <w:sz w:val="18"/>
          <w:szCs w:val="18"/>
        </w:rPr>
      </w:pPr>
      <w:r w:rsidRPr="00A74807">
        <w:rPr>
          <w:color w:val="000000"/>
          <w:sz w:val="18"/>
          <w:szCs w:val="18"/>
        </w:rPr>
        <w:t>6.3. ПРОДАВЕЦЬ зобов'язаний:</w:t>
      </w:r>
    </w:p>
    <w:p w:rsidR="00D17472" w:rsidRDefault="00F90C85" w:rsidP="000922AC">
      <w:pPr>
        <w:ind w:left="1134" w:right="-993" w:firstLine="426"/>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F90C85" w:rsidRPr="00A74807" w:rsidRDefault="00F90C85" w:rsidP="000922AC">
      <w:pPr>
        <w:ind w:left="1134" w:right="-993" w:firstLine="426"/>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sidR="00D17472">
        <w:rPr>
          <w:color w:val="000000"/>
          <w:sz w:val="18"/>
          <w:szCs w:val="18"/>
        </w:rPr>
        <w:t xml:space="preserve"> </w:t>
      </w:r>
      <w:r>
        <w:rPr>
          <w:color w:val="000000"/>
          <w:sz w:val="18"/>
          <w:szCs w:val="18"/>
        </w:rPr>
        <w:t xml:space="preserve"> Д</w:t>
      </w:r>
      <w:r w:rsidRPr="00A74807">
        <w:rPr>
          <w:color w:val="000000"/>
          <w:sz w:val="18"/>
          <w:szCs w:val="18"/>
        </w:rPr>
        <w:t>оговору.</w:t>
      </w:r>
    </w:p>
    <w:p w:rsidR="00F90C85" w:rsidRPr="00A74807" w:rsidRDefault="00F90C85" w:rsidP="000922AC">
      <w:pPr>
        <w:ind w:left="1134" w:right="-993" w:firstLine="426"/>
        <w:jc w:val="both"/>
        <w:rPr>
          <w:color w:val="000000"/>
          <w:sz w:val="18"/>
          <w:szCs w:val="18"/>
        </w:rPr>
      </w:pPr>
      <w:r w:rsidRPr="00A74807">
        <w:rPr>
          <w:color w:val="000000"/>
          <w:sz w:val="18"/>
          <w:szCs w:val="18"/>
        </w:rPr>
        <w:t>6.4. ПРОДАВЕЦЬ має право:</w:t>
      </w:r>
    </w:p>
    <w:p w:rsidR="00F90C85" w:rsidRPr="00A74807" w:rsidRDefault="00F90C85" w:rsidP="000922AC">
      <w:pPr>
        <w:ind w:left="1134" w:right="-993" w:firstLine="426"/>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F90C85" w:rsidRPr="00A74807" w:rsidRDefault="00F90C85" w:rsidP="000922AC">
      <w:pPr>
        <w:ind w:left="1134" w:right="-993" w:firstLine="426"/>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F90C85" w:rsidRPr="00A74807" w:rsidRDefault="00F90C85" w:rsidP="003808DA">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0922AC">
      <w:pPr>
        <w:ind w:left="1134" w:right="-993" w:firstLine="426"/>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0922AC">
      <w:pPr>
        <w:ind w:left="1134" w:right="-993" w:firstLine="426"/>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0922AC">
      <w:pPr>
        <w:ind w:left="1134" w:right="-993" w:firstLine="426"/>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0922AC">
      <w:pPr>
        <w:ind w:left="1134" w:right="-993" w:firstLine="426"/>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0922AC">
      <w:pPr>
        <w:ind w:left="1134" w:right="-993" w:firstLine="426"/>
        <w:jc w:val="both"/>
        <w:rPr>
          <w:b/>
          <w:bCs/>
          <w:color w:val="000000"/>
          <w:sz w:val="18"/>
          <w:szCs w:val="18"/>
        </w:rPr>
      </w:pPr>
      <w:r>
        <w:rPr>
          <w:b/>
          <w:bCs/>
          <w:color w:val="000000"/>
          <w:sz w:val="18"/>
          <w:szCs w:val="18"/>
        </w:rPr>
        <w:tab/>
      </w:r>
    </w:p>
    <w:p w:rsidR="00F90C85" w:rsidRPr="00A74807" w:rsidRDefault="00F90C85" w:rsidP="000922AC">
      <w:pPr>
        <w:ind w:left="1134" w:right="-993" w:firstLine="426"/>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Pr="00F27706" w:rsidRDefault="00F90C85" w:rsidP="000922AC">
      <w:pPr>
        <w:ind w:left="1134" w:right="-993" w:firstLine="426"/>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0C85" w:rsidRPr="00F27706" w:rsidRDefault="00F90C85" w:rsidP="000922AC">
      <w:pPr>
        <w:ind w:left="1134" w:right="-993" w:firstLine="426"/>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0922AC">
      <w:pPr>
        <w:ind w:left="1134" w:right="-993" w:firstLine="426"/>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0922AC">
      <w:pPr>
        <w:ind w:left="1134" w:right="-993" w:firstLine="426"/>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0922AC">
      <w:pPr>
        <w:ind w:left="1134" w:right="-993" w:firstLine="426"/>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0922AC">
      <w:pPr>
        <w:ind w:left="1134" w:right="-993" w:firstLine="426"/>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0922AC">
      <w:pPr>
        <w:ind w:right="-851" w:firstLine="426"/>
        <w:jc w:val="both"/>
        <w:rPr>
          <w:b/>
          <w:color w:val="FF0000"/>
          <w:sz w:val="18"/>
          <w:szCs w:val="18"/>
        </w:rPr>
      </w:pPr>
    </w:p>
    <w:p w:rsidR="00F90C85" w:rsidRPr="00A74807" w:rsidRDefault="00F90C85" w:rsidP="000922AC">
      <w:pPr>
        <w:ind w:right="-851" w:firstLine="426"/>
        <w:jc w:val="center"/>
        <w:rPr>
          <w:b/>
          <w:bCs/>
          <w:color w:val="000000"/>
          <w:sz w:val="18"/>
          <w:szCs w:val="18"/>
        </w:rPr>
      </w:pPr>
      <w:r w:rsidRPr="00A74807">
        <w:rPr>
          <w:b/>
          <w:bCs/>
          <w:color w:val="000000"/>
          <w:sz w:val="18"/>
          <w:szCs w:val="18"/>
        </w:rPr>
        <w:t>9. ВИРІШЕННЯ СПОРІВ</w:t>
      </w:r>
    </w:p>
    <w:p w:rsidR="00F90C85" w:rsidRPr="00A74807" w:rsidRDefault="00F90C85" w:rsidP="000922AC">
      <w:pPr>
        <w:ind w:left="1134" w:right="-993" w:firstLine="426"/>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0922AC" w:rsidP="000922AC">
      <w:pPr>
        <w:ind w:left="708" w:right="-851" w:firstLine="708"/>
        <w:jc w:val="both"/>
        <w:rPr>
          <w:color w:val="000000"/>
          <w:sz w:val="18"/>
          <w:szCs w:val="18"/>
        </w:rPr>
      </w:pPr>
      <w:r>
        <w:rPr>
          <w:color w:val="000000"/>
          <w:sz w:val="18"/>
          <w:szCs w:val="18"/>
        </w:rPr>
        <w:t xml:space="preserve">   </w:t>
      </w:r>
      <w:r w:rsidR="00F90C85"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435B36" w:rsidRDefault="00435B36" w:rsidP="00F90C85">
      <w:pPr>
        <w:ind w:right="-851"/>
        <w:jc w:val="center"/>
        <w:rPr>
          <w:b/>
          <w:sz w:val="18"/>
          <w:szCs w:val="18"/>
        </w:rPr>
      </w:pPr>
    </w:p>
    <w:p w:rsidR="000922AC" w:rsidRDefault="000922AC" w:rsidP="00F90C85">
      <w:pPr>
        <w:ind w:right="-851"/>
        <w:jc w:val="center"/>
        <w:rPr>
          <w:b/>
          <w:sz w:val="18"/>
          <w:szCs w:val="18"/>
        </w:rPr>
      </w:pPr>
    </w:p>
    <w:p w:rsidR="00F90C85" w:rsidRPr="00F27706" w:rsidRDefault="00F90C85" w:rsidP="00F90C85">
      <w:pPr>
        <w:ind w:right="-851"/>
        <w:jc w:val="center"/>
        <w:rPr>
          <w:b/>
          <w:sz w:val="18"/>
          <w:szCs w:val="18"/>
        </w:rPr>
      </w:pPr>
      <w:r w:rsidRPr="00F27706">
        <w:rPr>
          <w:b/>
          <w:sz w:val="18"/>
          <w:szCs w:val="18"/>
        </w:rPr>
        <w:lastRenderedPageBreak/>
        <w:t>10. П</w:t>
      </w:r>
      <w:r>
        <w:rPr>
          <w:b/>
          <w:sz w:val="18"/>
          <w:szCs w:val="18"/>
        </w:rPr>
        <w:t>ОРЯДОК ЗМІНИ УМОВ ДОГОВОРУ ПРО ЗАКУПІВЛЮ</w:t>
      </w:r>
    </w:p>
    <w:p w:rsidR="00F90C85" w:rsidRPr="00D210A9" w:rsidRDefault="00F90C85" w:rsidP="00F90C85">
      <w:pPr>
        <w:ind w:right="-1" w:firstLine="708"/>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F90C85">
      <w:pPr>
        <w:ind w:right="-1"/>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F90C85">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F90C85">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90C85" w:rsidRPr="00D210A9" w:rsidRDefault="00F90C85" w:rsidP="00F90C85">
      <w:pPr>
        <w:ind w:right="-1" w:firstLine="708"/>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0C85" w:rsidRPr="00D210A9" w:rsidRDefault="00F90C85" w:rsidP="00F90C85">
      <w:pPr>
        <w:ind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F90C85">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F90C85">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F90C85">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F90C85">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F90C85">
      <w:pPr>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F90C85">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F90C85">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F90C85">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F90C85">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F90C85">
      <w:pPr>
        <w:keepNext/>
        <w:numPr>
          <w:ilvl w:val="0"/>
          <w:numId w:val="3"/>
        </w:numPr>
        <w:autoSpaceDE/>
        <w:autoSpaceDN/>
        <w:jc w:val="both"/>
        <w:rPr>
          <w:sz w:val="18"/>
          <w:szCs w:val="18"/>
        </w:rPr>
      </w:pPr>
      <w:r w:rsidRPr="005C2241">
        <w:rPr>
          <w:sz w:val="18"/>
          <w:szCs w:val="18"/>
        </w:rPr>
        <w:t>якості поставленого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F90C85">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F90C85">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F90C85">
      <w:pPr>
        <w:ind w:firstLine="720"/>
        <w:jc w:val="both"/>
        <w:rPr>
          <w:sz w:val="18"/>
          <w:szCs w:val="18"/>
        </w:rPr>
      </w:pPr>
    </w:p>
    <w:p w:rsidR="00457F82" w:rsidRDefault="00457F82" w:rsidP="00F90C85">
      <w:pPr>
        <w:jc w:val="center"/>
        <w:rPr>
          <w:b/>
          <w:sz w:val="18"/>
          <w:szCs w:val="18"/>
        </w:rPr>
      </w:pPr>
    </w:p>
    <w:p w:rsidR="00F90C85" w:rsidRPr="00D210A9" w:rsidRDefault="00F90C85" w:rsidP="00F90C85">
      <w:pPr>
        <w:jc w:val="center"/>
        <w:rPr>
          <w:b/>
          <w:sz w:val="18"/>
          <w:szCs w:val="18"/>
        </w:rPr>
      </w:pPr>
      <w:r w:rsidRPr="00D210A9">
        <w:rPr>
          <w:b/>
          <w:sz w:val="18"/>
          <w:szCs w:val="18"/>
        </w:rPr>
        <w:t>12. АНТИКОРУПЦІЙНЕ ЗАСТЕРЕЖЕННЯ</w:t>
      </w:r>
    </w:p>
    <w:p w:rsidR="00C43955" w:rsidRDefault="00F90C85" w:rsidP="00EF30A2">
      <w:pPr>
        <w:ind w:right="-1"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p>
    <w:p w:rsidR="00C43955" w:rsidRDefault="00C43955" w:rsidP="00EF30A2">
      <w:pPr>
        <w:ind w:right="-1" w:firstLine="709"/>
        <w:jc w:val="both"/>
        <w:rPr>
          <w:sz w:val="18"/>
          <w:szCs w:val="18"/>
        </w:rPr>
      </w:pPr>
      <w:r>
        <w:rPr>
          <w:sz w:val="18"/>
          <w:szCs w:val="18"/>
        </w:rPr>
        <w:t xml:space="preserve">         </w:t>
      </w:r>
      <w:r w:rsidR="00F90C85" w:rsidRPr="00D210A9">
        <w:rPr>
          <w:sz w:val="18"/>
          <w:szCs w:val="18"/>
        </w:rPr>
        <w:t xml:space="preserve"> злочинним шляхом; вживати всіх можливих заходів, які є необіжними та достатніми для запобігання, виявлення і </w:t>
      </w:r>
    </w:p>
    <w:p w:rsidR="005C2241" w:rsidRDefault="00F90C85" w:rsidP="00EF30A2">
      <w:pPr>
        <w:ind w:right="-1" w:firstLine="709"/>
        <w:jc w:val="both"/>
        <w:rPr>
          <w:sz w:val="18"/>
          <w:szCs w:val="18"/>
        </w:rPr>
      </w:pPr>
      <w:r w:rsidRPr="00D210A9">
        <w:rPr>
          <w:sz w:val="18"/>
          <w:szCs w:val="18"/>
        </w:rPr>
        <w:t>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p>
    <w:p w:rsidR="00F90C85" w:rsidRPr="00F27706" w:rsidRDefault="00C43955" w:rsidP="00EF30A2">
      <w:pPr>
        <w:ind w:right="-1" w:firstLine="709"/>
        <w:jc w:val="both"/>
        <w:rPr>
          <w:sz w:val="18"/>
          <w:szCs w:val="18"/>
        </w:rPr>
      </w:pPr>
      <w:r>
        <w:rPr>
          <w:sz w:val="18"/>
          <w:szCs w:val="18"/>
        </w:rPr>
        <w:t xml:space="preserve">      </w:t>
      </w:r>
      <w:r w:rsidR="00F90C85" w:rsidRPr="00D210A9">
        <w:rPr>
          <w:sz w:val="18"/>
          <w:szCs w:val="18"/>
        </w:rPr>
        <w:t>будь яких осіб за вчинення чи невчинення такою особою будь-яких дій з метою отримання неправомірної вигоди</w:t>
      </w:r>
      <w:r w:rsidR="00F90C85">
        <w:rPr>
          <w:sz w:val="18"/>
          <w:szCs w:val="18"/>
        </w:rPr>
        <w:t xml:space="preserve">                       </w:t>
      </w:r>
      <w:r w:rsidR="00F90C85" w:rsidRPr="00D210A9">
        <w:rPr>
          <w:sz w:val="18"/>
          <w:szCs w:val="18"/>
        </w:rPr>
        <w:t>обіцянки неправомірної вигоди) від таких осіб.</w:t>
      </w:r>
    </w:p>
    <w:p w:rsidR="00F90C85" w:rsidRPr="00F27706" w:rsidRDefault="00C43955" w:rsidP="00EF30A2">
      <w:pPr>
        <w:ind w:right="-1" w:firstLine="709"/>
        <w:jc w:val="both"/>
        <w:rPr>
          <w:sz w:val="18"/>
          <w:szCs w:val="18"/>
        </w:rPr>
      </w:pPr>
      <w:r>
        <w:rPr>
          <w:sz w:val="18"/>
          <w:szCs w:val="18"/>
        </w:rPr>
        <w:t xml:space="preserve">                    </w:t>
      </w:r>
      <w:r w:rsidR="00F90C85"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00F90C85"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F27706" w:rsidRDefault="00F90C85" w:rsidP="00F90C85">
      <w:pPr>
        <w:jc w:val="both"/>
        <w:rPr>
          <w:sz w:val="18"/>
          <w:szCs w:val="18"/>
        </w:rPr>
      </w:pPr>
    </w:p>
    <w:p w:rsidR="00435B36" w:rsidRDefault="00435B36" w:rsidP="00F90C85">
      <w:pPr>
        <w:jc w:val="center"/>
        <w:rPr>
          <w:b/>
          <w:bCs/>
          <w:color w:val="000000"/>
          <w:sz w:val="18"/>
          <w:szCs w:val="18"/>
        </w:rPr>
      </w:pPr>
    </w:p>
    <w:p w:rsidR="00F90C85" w:rsidRPr="00A74807" w:rsidRDefault="00F90C85" w:rsidP="00F90C85">
      <w:pPr>
        <w:jc w:val="center"/>
        <w:rPr>
          <w:b/>
          <w:bCs/>
          <w:color w:val="000000"/>
          <w:sz w:val="18"/>
          <w:szCs w:val="18"/>
        </w:rPr>
      </w:pPr>
      <w:r w:rsidRPr="00A74807">
        <w:rPr>
          <w:b/>
          <w:bCs/>
          <w:color w:val="000000"/>
          <w:sz w:val="18"/>
          <w:szCs w:val="18"/>
        </w:rPr>
        <w:lastRenderedPageBreak/>
        <w:t>1</w:t>
      </w:r>
      <w:r>
        <w:rPr>
          <w:b/>
          <w:bCs/>
          <w:color w:val="000000"/>
          <w:sz w:val="18"/>
          <w:szCs w:val="18"/>
        </w:rPr>
        <w:t>3</w:t>
      </w:r>
      <w:r w:rsidRPr="00A74807">
        <w:rPr>
          <w:b/>
          <w:bCs/>
          <w:color w:val="000000"/>
          <w:sz w:val="18"/>
          <w:szCs w:val="18"/>
        </w:rPr>
        <w:t>. СТРОК ДІЇ ДОГОВОРУ</w:t>
      </w:r>
    </w:p>
    <w:p w:rsidR="00F90C85" w:rsidRPr="00A74807" w:rsidRDefault="00F90C85" w:rsidP="00F90C85">
      <w:pPr>
        <w:ind w:left="708"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236F74">
        <w:rPr>
          <w:color w:val="000000"/>
          <w:sz w:val="18"/>
          <w:szCs w:val="18"/>
        </w:rPr>
        <w:t>4</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EF30A2">
      <w:pPr>
        <w:tabs>
          <w:tab w:val="left" w:pos="709"/>
        </w:tabs>
        <w:ind w:left="993" w:right="-851" w:hanging="851"/>
        <w:jc w:val="both"/>
        <w:rPr>
          <w:b/>
          <w:bCs/>
          <w:sz w:val="18"/>
          <w:szCs w:val="18"/>
        </w:rPr>
      </w:pPr>
      <w:r>
        <w:rPr>
          <w:sz w:val="18"/>
          <w:szCs w:val="18"/>
        </w:rPr>
        <w:tab/>
      </w:r>
      <w:r>
        <w:rPr>
          <w:sz w:val="18"/>
          <w:szCs w:val="18"/>
        </w:rPr>
        <w:tab/>
      </w: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F90C85">
      <w:pPr>
        <w:ind w:left="851" w:right="-710"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0922A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000922AC">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0922AC">
        <w:rPr>
          <w:sz w:val="18"/>
          <w:szCs w:val="18"/>
        </w:rPr>
        <w:t xml:space="preserve"> </w:t>
      </w:r>
      <w:bookmarkStart w:id="0" w:name="_GoBack"/>
      <w:bookmarkEnd w:id="0"/>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p>
    <w:sectPr w:rsidR="00E9678A" w:rsidRPr="00B01465" w:rsidSect="00457F8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922AC"/>
    <w:rsid w:val="000C1F29"/>
    <w:rsid w:val="00153A77"/>
    <w:rsid w:val="00167DA2"/>
    <w:rsid w:val="00183BA9"/>
    <w:rsid w:val="001D04B4"/>
    <w:rsid w:val="00200E2B"/>
    <w:rsid w:val="00212779"/>
    <w:rsid w:val="00236F74"/>
    <w:rsid w:val="00241BF1"/>
    <w:rsid w:val="002F48A2"/>
    <w:rsid w:val="00304816"/>
    <w:rsid w:val="003050B9"/>
    <w:rsid w:val="003330DB"/>
    <w:rsid w:val="00347611"/>
    <w:rsid w:val="00354767"/>
    <w:rsid w:val="0038006E"/>
    <w:rsid w:val="003808DA"/>
    <w:rsid w:val="00390876"/>
    <w:rsid w:val="0040078D"/>
    <w:rsid w:val="00421C35"/>
    <w:rsid w:val="00435B36"/>
    <w:rsid w:val="00437683"/>
    <w:rsid w:val="00443ADB"/>
    <w:rsid w:val="00444A3D"/>
    <w:rsid w:val="00453361"/>
    <w:rsid w:val="00457F82"/>
    <w:rsid w:val="004A3E79"/>
    <w:rsid w:val="005B11E2"/>
    <w:rsid w:val="005C1D88"/>
    <w:rsid w:val="005C2241"/>
    <w:rsid w:val="005E01C7"/>
    <w:rsid w:val="005E033A"/>
    <w:rsid w:val="006021B7"/>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43955"/>
    <w:rsid w:val="00CA7257"/>
    <w:rsid w:val="00CB78C1"/>
    <w:rsid w:val="00CD7963"/>
    <w:rsid w:val="00D11121"/>
    <w:rsid w:val="00D17472"/>
    <w:rsid w:val="00D210A9"/>
    <w:rsid w:val="00D25EE1"/>
    <w:rsid w:val="00D26B31"/>
    <w:rsid w:val="00D41968"/>
    <w:rsid w:val="00D66995"/>
    <w:rsid w:val="00D67BA7"/>
    <w:rsid w:val="00DA0A8E"/>
    <w:rsid w:val="00DB2D62"/>
    <w:rsid w:val="00DD76B2"/>
    <w:rsid w:val="00DF2A46"/>
    <w:rsid w:val="00E04762"/>
    <w:rsid w:val="00E104B8"/>
    <w:rsid w:val="00E2784C"/>
    <w:rsid w:val="00E37EB6"/>
    <w:rsid w:val="00E8018B"/>
    <w:rsid w:val="00E9678A"/>
    <w:rsid w:val="00EA0C3F"/>
    <w:rsid w:val="00EA0F2F"/>
    <w:rsid w:val="00EF2E1C"/>
    <w:rsid w:val="00EF30A2"/>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AD1"/>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7DA1-47A9-4F0F-B993-2ECD1A6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36</cp:revision>
  <cp:lastPrinted>2023-09-20T09:01:00Z</cp:lastPrinted>
  <dcterms:created xsi:type="dcterms:W3CDTF">2021-07-12T07:54:00Z</dcterms:created>
  <dcterms:modified xsi:type="dcterms:W3CDTF">2024-03-11T06:51:00Z</dcterms:modified>
</cp:coreProperties>
</file>