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Default="00552430" w:rsidP="00552430">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p w14:paraId="01B0EF60" w14:textId="61C6B033" w:rsidR="00552430" w:rsidRDefault="00552430" w:rsidP="0055243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w:t>
      </w:r>
      <w:r w:rsidR="00511BC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w:t>
      </w:r>
      <w:r w:rsidR="00B2224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7BDBDFC2" w14:textId="77777777" w:rsidR="00552430" w:rsidRDefault="00552430" w:rsidP="00552430">
      <w:pPr>
        <w:spacing w:line="240" w:lineRule="auto"/>
        <w:rPr>
          <w:rFonts w:ascii="Times New Roman" w:eastAsia="Times New Roman" w:hAnsi="Times New Roman" w:cs="Times New Roman"/>
          <w:sz w:val="24"/>
          <w:szCs w:val="24"/>
        </w:rPr>
      </w:pPr>
    </w:p>
    <w:p w14:paraId="3D2403EC"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7A425891" w14:textId="1650B4EA"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Default="00552430" w:rsidP="0055243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p w14:paraId="6CB2ECBB" w14:textId="77777777" w:rsidR="007F7302" w:rsidRDefault="00552430" w:rsidP="007F7302">
      <w:pPr>
        <w:pStyle w:val="af8"/>
        <w:widowControl w:val="0"/>
        <w:numPr>
          <w:ilvl w:val="0"/>
          <w:numId w:val="14"/>
        </w:numPr>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412C1FD4" w14:textId="22A4606A" w:rsidR="00552430" w:rsidRPr="007F7302" w:rsidRDefault="00552430" w:rsidP="002B3112">
      <w:pPr>
        <w:pStyle w:val="1"/>
        <w:shd w:val="clear" w:color="auto" w:fill="FDFEFD"/>
        <w:spacing w:before="0" w:after="0" w:line="240" w:lineRule="auto"/>
        <w:jc w:val="both"/>
        <w:textAlignment w:val="baseline"/>
        <w:rPr>
          <w:rFonts w:ascii="Times New Roman" w:eastAsia="Times New Roman" w:hAnsi="Times New Roman" w:cs="Times New Roman"/>
          <w:b w:val="0"/>
          <w:color w:val="222222"/>
          <w:sz w:val="24"/>
          <w:szCs w:val="24"/>
        </w:rPr>
      </w:pPr>
      <w:r w:rsidRPr="00175851">
        <w:rPr>
          <w:rFonts w:ascii="Times New Roman" w:eastAsia="Times New Roman" w:hAnsi="Times New Roman" w:cs="Times New Roman"/>
          <w:b w:val="0"/>
          <w:color w:val="222222"/>
          <w:sz w:val="24"/>
          <w:szCs w:val="24"/>
        </w:rPr>
        <w:t>1.1. ПОСТАЧАЛЬНИК бере на себе зобов’язання поставити ЗАМОВНИКУ фармацевтичну продукцію:</w:t>
      </w:r>
      <w:r w:rsidRPr="007F7302">
        <w:rPr>
          <w:rFonts w:ascii="Times New Roman" w:eastAsia="Times New Roman" w:hAnsi="Times New Roman" w:cs="Times New Roman"/>
          <w:color w:val="222222"/>
          <w:sz w:val="24"/>
          <w:szCs w:val="24"/>
        </w:rPr>
        <w:t xml:space="preserve"> </w:t>
      </w:r>
      <w:r w:rsidR="002B3112" w:rsidRPr="002B3112">
        <w:rPr>
          <w:rFonts w:ascii="Times New Roman" w:hAnsi="Times New Roman" w:cs="Times New Roman"/>
          <w:b w:val="0"/>
          <w:bCs/>
          <w:i/>
          <w:color w:val="000000"/>
          <w:sz w:val="24"/>
          <w:szCs w:val="24"/>
        </w:rPr>
        <w:t xml:space="preserve">Анти-D імуноглобулін людини, розчин для ін'єкцій, 300 </w:t>
      </w:r>
      <w:proofErr w:type="spellStart"/>
      <w:r w:rsidR="002B3112" w:rsidRPr="002B3112">
        <w:rPr>
          <w:rFonts w:ascii="Times New Roman" w:hAnsi="Times New Roman" w:cs="Times New Roman"/>
          <w:b w:val="0"/>
          <w:bCs/>
          <w:i/>
          <w:color w:val="000000"/>
          <w:sz w:val="24"/>
          <w:szCs w:val="24"/>
        </w:rPr>
        <w:t>мкг</w:t>
      </w:r>
      <w:proofErr w:type="spellEnd"/>
      <w:r w:rsidR="002B3112" w:rsidRPr="002B3112">
        <w:rPr>
          <w:rFonts w:ascii="Times New Roman" w:hAnsi="Times New Roman" w:cs="Times New Roman"/>
          <w:b w:val="0"/>
          <w:bCs/>
          <w:i/>
          <w:color w:val="000000"/>
          <w:sz w:val="24"/>
          <w:szCs w:val="24"/>
        </w:rPr>
        <w:t xml:space="preserve"> (1500 МО)/2 мл, по 2 мл, Імуноглобулін, людини нормальний, розчин для </w:t>
      </w:r>
      <w:proofErr w:type="spellStart"/>
      <w:r w:rsidR="002B3112" w:rsidRPr="002B3112">
        <w:rPr>
          <w:rFonts w:ascii="Times New Roman" w:hAnsi="Times New Roman" w:cs="Times New Roman"/>
          <w:b w:val="0"/>
          <w:bCs/>
          <w:i/>
          <w:color w:val="000000"/>
          <w:sz w:val="24"/>
          <w:szCs w:val="24"/>
        </w:rPr>
        <w:t>інфузій</w:t>
      </w:r>
      <w:proofErr w:type="spellEnd"/>
      <w:r w:rsidR="002B3112" w:rsidRPr="002B3112">
        <w:rPr>
          <w:rFonts w:ascii="Times New Roman" w:hAnsi="Times New Roman" w:cs="Times New Roman"/>
          <w:b w:val="0"/>
          <w:bCs/>
          <w:i/>
          <w:color w:val="000000"/>
          <w:sz w:val="24"/>
          <w:szCs w:val="24"/>
        </w:rPr>
        <w:t xml:space="preserve">, 100 мг/мл, по 100 мл, Імуноглобулін, людини нормальний, розчин для </w:t>
      </w:r>
      <w:proofErr w:type="spellStart"/>
      <w:r w:rsidR="002B3112" w:rsidRPr="002B3112">
        <w:rPr>
          <w:rFonts w:ascii="Times New Roman" w:hAnsi="Times New Roman" w:cs="Times New Roman"/>
          <w:b w:val="0"/>
          <w:bCs/>
          <w:i/>
          <w:color w:val="000000"/>
          <w:sz w:val="24"/>
          <w:szCs w:val="24"/>
        </w:rPr>
        <w:t>інфузій</w:t>
      </w:r>
      <w:proofErr w:type="spellEnd"/>
      <w:r w:rsidR="002B3112" w:rsidRPr="002B3112">
        <w:rPr>
          <w:rFonts w:ascii="Times New Roman" w:hAnsi="Times New Roman" w:cs="Times New Roman"/>
          <w:b w:val="0"/>
          <w:bCs/>
          <w:i/>
          <w:color w:val="000000"/>
          <w:sz w:val="24"/>
          <w:szCs w:val="24"/>
        </w:rPr>
        <w:t xml:space="preserve">, 100 мг/мл, по 50 мл, Імуноглобулін, людини нормальний, розчин для </w:t>
      </w:r>
      <w:proofErr w:type="spellStart"/>
      <w:r w:rsidR="002B3112" w:rsidRPr="002B3112">
        <w:rPr>
          <w:rFonts w:ascii="Times New Roman" w:hAnsi="Times New Roman" w:cs="Times New Roman"/>
          <w:b w:val="0"/>
          <w:bCs/>
          <w:i/>
          <w:color w:val="000000"/>
          <w:sz w:val="24"/>
          <w:szCs w:val="24"/>
        </w:rPr>
        <w:t>інфузій</w:t>
      </w:r>
      <w:proofErr w:type="spellEnd"/>
      <w:r w:rsidR="002B3112" w:rsidRPr="002B3112">
        <w:rPr>
          <w:rFonts w:ascii="Times New Roman" w:hAnsi="Times New Roman" w:cs="Times New Roman"/>
          <w:b w:val="0"/>
          <w:bCs/>
          <w:i/>
          <w:color w:val="000000"/>
          <w:sz w:val="24"/>
          <w:szCs w:val="24"/>
        </w:rPr>
        <w:t xml:space="preserve">, 50 мг/мл, по 50 мл, Імуноглобулін, людини нормальний, розчин для </w:t>
      </w:r>
      <w:proofErr w:type="spellStart"/>
      <w:r w:rsidR="002B3112" w:rsidRPr="002B3112">
        <w:rPr>
          <w:rFonts w:ascii="Times New Roman" w:hAnsi="Times New Roman" w:cs="Times New Roman"/>
          <w:b w:val="0"/>
          <w:bCs/>
          <w:i/>
          <w:color w:val="000000"/>
          <w:sz w:val="24"/>
          <w:szCs w:val="24"/>
        </w:rPr>
        <w:t>інфузій</w:t>
      </w:r>
      <w:proofErr w:type="spellEnd"/>
      <w:r w:rsidR="002B3112" w:rsidRPr="002B3112">
        <w:rPr>
          <w:rFonts w:ascii="Times New Roman" w:hAnsi="Times New Roman" w:cs="Times New Roman"/>
          <w:b w:val="0"/>
          <w:bCs/>
          <w:i/>
          <w:color w:val="000000"/>
          <w:sz w:val="24"/>
          <w:szCs w:val="24"/>
        </w:rPr>
        <w:t>, 50 мг/мл, по 25 мл</w:t>
      </w:r>
      <w:r w:rsidR="002B3112">
        <w:rPr>
          <w:rFonts w:ascii="Times New Roman" w:hAnsi="Times New Roman" w:cs="Times New Roman"/>
          <w:b w:val="0"/>
          <w:bCs/>
          <w:i/>
          <w:color w:val="000000"/>
          <w:sz w:val="24"/>
          <w:szCs w:val="24"/>
        </w:rPr>
        <w:t xml:space="preserve"> </w:t>
      </w:r>
      <w:r w:rsidRPr="00175851">
        <w:rPr>
          <w:rFonts w:ascii="Times New Roman" w:eastAsia="Times New Roman" w:hAnsi="Times New Roman" w:cs="Times New Roman"/>
          <w:b w:val="0"/>
          <w:color w:val="222222"/>
          <w:sz w:val="24"/>
          <w:szCs w:val="24"/>
        </w:rPr>
        <w:t>ДК 021:2015, код 33600000-6 (ID: _______________),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F41B2C">
      <w:pPr>
        <w:spacing w:line="240" w:lineRule="auto"/>
        <w:jc w:val="both"/>
        <w:rPr>
          <w:rFonts w:ascii="Times New Roman" w:eastAsia="Times New Roman" w:hAnsi="Times New Roman" w:cs="Times New Roman"/>
          <w:color w:val="222222"/>
          <w:sz w:val="24"/>
          <w:szCs w:val="24"/>
        </w:rPr>
      </w:pPr>
      <w:r w:rsidRPr="00B2224D">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w:t>
      </w:r>
      <w:r>
        <w:rPr>
          <w:rFonts w:ascii="Times New Roman" w:eastAsia="Times New Roman" w:hAnsi="Times New Roman" w:cs="Times New Roman"/>
          <w:color w:val="222222"/>
          <w:sz w:val="24"/>
          <w:szCs w:val="24"/>
        </w:rPr>
        <w:t xml:space="preserve"> Договору, належить йому на праві власності, не перебуває під забороною відчуження, арештом, не є предметом</w:t>
      </w:r>
      <w:bookmarkStart w:id="1" w:name="_GoBack"/>
      <w:bookmarkEnd w:id="1"/>
      <w:r>
        <w:rPr>
          <w:rFonts w:ascii="Times New Roman" w:eastAsia="Times New Roman" w:hAnsi="Times New Roman" w:cs="Times New Roman"/>
          <w:color w:val="222222"/>
          <w:sz w:val="24"/>
          <w:szCs w:val="24"/>
        </w:rPr>
        <w:t xml:space="preserve">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78758AB4"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50570FAE"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p>
    <w:p w14:paraId="37015C7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24A63A20"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810929A"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p>
    <w:p w14:paraId="4ED4E18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44C9D0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Датою оплати є дата списання грошових коштів з рахунку ЗАМОВНИКА.</w:t>
      </w:r>
    </w:p>
    <w:p w14:paraId="0A2FE9B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B2697E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29D70A0" w14:textId="31B18E5C"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3AF2675" w14:textId="77777777" w:rsidR="00552430" w:rsidRDefault="00552430" w:rsidP="00552430">
      <w:pPr>
        <w:spacing w:line="240" w:lineRule="auto"/>
        <w:jc w:val="center"/>
        <w:rPr>
          <w:rFonts w:ascii="Times New Roman" w:eastAsia="Times New Roman" w:hAnsi="Times New Roman" w:cs="Times New Roman"/>
          <w:color w:val="222222"/>
          <w:sz w:val="24"/>
          <w:szCs w:val="24"/>
        </w:rPr>
      </w:pPr>
    </w:p>
    <w:p w14:paraId="2CF67488" w14:textId="47CAADD1" w:rsidR="00552430" w:rsidRDefault="00552430"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продукції визначається у Специфікації (Додатку 1).</w:t>
      </w:r>
    </w:p>
    <w:p w14:paraId="1DBD0A7F" w14:textId="77777777" w:rsidR="001D1DDA" w:rsidRPr="00376DDD" w:rsidRDefault="001D1DDA" w:rsidP="001D1DDA">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B2F99C5" w14:textId="77777777" w:rsidR="001D1DDA" w:rsidRPr="00376DDD" w:rsidRDefault="001D1DDA" w:rsidP="001D1DDA">
      <w:pPr>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 xml:space="preserve">4.2. Товар повинен бути наданий Замовнику </w:t>
      </w:r>
      <w:r w:rsidRPr="004E1708">
        <w:rPr>
          <w:rFonts w:ascii="Times New Roman" w:hAnsi="Times New Roman" w:cs="Times New Roman"/>
          <w:b/>
          <w:sz w:val="24"/>
          <w:szCs w:val="24"/>
          <w:u w:val="single"/>
        </w:rPr>
        <w:t>протягом однієї доби</w:t>
      </w:r>
      <w:r w:rsidRPr="00376DDD">
        <w:rPr>
          <w:rFonts w:ascii="Times New Roman" w:hAnsi="Times New Roman" w:cs="Times New Roman"/>
          <w:sz w:val="24"/>
          <w:szCs w:val="24"/>
        </w:rPr>
        <w:t xml:space="preserve"> з</w:t>
      </w:r>
      <w:r>
        <w:rPr>
          <w:rFonts w:ascii="Times New Roman" w:hAnsi="Times New Roman" w:cs="Times New Roman"/>
          <w:sz w:val="24"/>
          <w:szCs w:val="24"/>
        </w:rPr>
        <w:t xml:space="preserve"> моменту надходження замовлення.</w:t>
      </w:r>
    </w:p>
    <w:p w14:paraId="05E1470C" w14:textId="74F52236" w:rsidR="00552430" w:rsidRDefault="00552430"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D1DDA">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Адреса пункту призначення (місце поставки) - склад замовника, що визначається у Специфікації (Додаток № 1).</w:t>
      </w:r>
    </w:p>
    <w:p w14:paraId="2E6F4F55" w14:textId="1A2A7E9C" w:rsidR="00552430" w:rsidRDefault="001D1DDA" w:rsidP="00552430">
      <w:pPr>
        <w:widowControl w:v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w:t>
      </w:r>
      <w:r w:rsidR="00552430">
        <w:rPr>
          <w:rFonts w:ascii="Times New Roman" w:eastAsia="Times New Roman" w:hAnsi="Times New Roman" w:cs="Times New Roman"/>
          <w:color w:val="222222"/>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згідно з Розділом 6 цього Договору. </w:t>
      </w:r>
    </w:p>
    <w:p w14:paraId="7F433DA7" w14:textId="7608971D" w:rsidR="00552430" w:rsidRDefault="001D1DDA"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4.5</w:t>
      </w:r>
      <w:r w:rsidR="00552430">
        <w:rPr>
          <w:rFonts w:ascii="Times New Roman" w:eastAsia="Times New Roman" w:hAnsi="Times New Roman" w:cs="Times New Roman"/>
          <w:color w:val="222222"/>
          <w:sz w:val="24"/>
          <w:szCs w:val="24"/>
        </w:rPr>
        <w:t>. ПОСТАЧАЛЬНИК зобов’язаний забезпечити схоронність продукції протягом усього періоду її транспортування, включаючи період її зберігання на складах до моменту передачі ЗАМОВНИКУ (або його уповноваженому представникові).</w:t>
      </w:r>
    </w:p>
    <w:p w14:paraId="2D15AE06" w14:textId="3C298D6F" w:rsidR="00552430" w:rsidRDefault="001D1DDA"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4.6</w:t>
      </w:r>
      <w:r w:rsidR="00552430">
        <w:rPr>
          <w:rFonts w:ascii="Times New Roman" w:eastAsia="Times New Roman" w:hAnsi="Times New Roman" w:cs="Times New Roman"/>
          <w:color w:val="222222"/>
          <w:sz w:val="24"/>
          <w:szCs w:val="24"/>
        </w:rPr>
        <w:t xml:space="preserve">.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2056509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76326D2F"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793A9D3"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lastRenderedPageBreak/>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5FB88373"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55243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0DA2CE96"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DC055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1708CA">
      <w:pP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p w14:paraId="695FFCC1"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висновку, що свідчить про недотримання ПОСТАЧАЛЬНИКОМ вимог законодавства 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1708CA">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FA3773F" w14:textId="77777777" w:rsidR="00552430" w:rsidRDefault="00552430" w:rsidP="00552430">
      <w:pPr>
        <w:numPr>
          <w:ilvl w:val="0"/>
          <w:numId w:val="12"/>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4 (чотири) </w:t>
      </w:r>
      <w:r>
        <w:rPr>
          <w:rFonts w:ascii="Times New Roman" w:eastAsia="Times New Roman" w:hAnsi="Times New Roman" w:cs="Times New Roman"/>
          <w:color w:val="222222"/>
          <w:sz w:val="24"/>
          <w:szCs w:val="24"/>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із обов’язковим визначенням загальної суми у гривні), назву виробника, </w:t>
      </w:r>
      <w:r>
        <w:rPr>
          <w:rFonts w:ascii="Times New Roman" w:eastAsia="Times New Roman" w:hAnsi="Times New Roman" w:cs="Times New Roman"/>
          <w:color w:val="222222"/>
          <w:sz w:val="24"/>
          <w:szCs w:val="24"/>
        </w:rPr>
        <w:lastRenderedPageBreak/>
        <w:t>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72E3A61F" w14:textId="0AE4D5A8" w:rsidR="00552430" w:rsidRDefault="00552430" w:rsidP="00552430">
      <w:pPr>
        <w:numPr>
          <w:ilvl w:val="0"/>
          <w:numId w:val="1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552430">
      <w:pPr>
        <w:numPr>
          <w:ilvl w:val="0"/>
          <w:numId w:val="8"/>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552430">
      <w:pPr>
        <w:numPr>
          <w:ilvl w:val="0"/>
          <w:numId w:val="6"/>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552430">
      <w:pPr>
        <w:numPr>
          <w:ilvl w:val="0"/>
          <w:numId w:val="1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552430">
      <w:pPr>
        <w:numPr>
          <w:ilvl w:val="0"/>
          <w:numId w:val="4"/>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77777777" w:rsidR="00552430" w:rsidRDefault="00552430" w:rsidP="00552430">
      <w:pPr>
        <w:numPr>
          <w:ilvl w:val="0"/>
          <w:numId w:val="2"/>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завірені належним чином копії чинних сертифікатів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rFonts w:ascii="Times New Roman" w:eastAsia="Times New Roman" w:hAnsi="Times New Roman" w:cs="Times New Roman"/>
          <w:color w:val="222222"/>
          <w:sz w:val="24"/>
          <w:szCs w:val="24"/>
        </w:rPr>
        <w:t>;</w:t>
      </w:r>
    </w:p>
    <w:p w14:paraId="1CB9942A" w14:textId="77777777" w:rsidR="00552430" w:rsidRDefault="00552430" w:rsidP="00552430">
      <w:pPr>
        <w:numPr>
          <w:ilvl w:val="0"/>
          <w:numId w:val="1"/>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552430">
      <w:pPr>
        <w:numPr>
          <w:ilvl w:val="0"/>
          <w:numId w:val="5"/>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552430">
      <w:pPr>
        <w:numPr>
          <w:ilvl w:val="0"/>
          <w:numId w:val="3"/>
        </w:numPr>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05194E95"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6E8537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6A5F4D5C" w:rsidR="00552430" w:rsidRPr="00255D59"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w:t>
      </w:r>
      <w:r>
        <w:rPr>
          <w:rFonts w:ascii="Times New Roman" w:eastAsia="Times New Roman" w:hAnsi="Times New Roman" w:cs="Times New Roman"/>
          <w:color w:val="222222"/>
          <w:sz w:val="24"/>
          <w:szCs w:val="24"/>
        </w:rPr>
        <w:lastRenderedPageBreak/>
        <w:t xml:space="preserve">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w:t>
      </w:r>
      <w:r w:rsidRPr="00255D59">
        <w:rPr>
          <w:rFonts w:ascii="Times New Roman" w:eastAsia="Times New Roman" w:hAnsi="Times New Roman" w:cs="Times New Roman"/>
          <w:color w:val="222222"/>
          <w:sz w:val="24"/>
          <w:szCs w:val="24"/>
        </w:rPr>
        <w:t>згідно з вимогою ЗАМОВНИКА платежу за Банківською гарантією забезпечення попередньої оплати на суму попередньої оплати.</w:t>
      </w:r>
    </w:p>
    <w:p w14:paraId="6A54A616" w14:textId="77777777" w:rsidR="00552430" w:rsidRPr="00255D59" w:rsidRDefault="00552430" w:rsidP="00255D59">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552430">
      <w:pPr>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255D59">
      <w:pPr>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552430">
      <w:pPr>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1D9C5CB8"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8CE6E71" w14:textId="3D0ED747" w:rsidR="00552430" w:rsidRDefault="00552430" w:rsidP="00E4071C">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4524C844"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p>
    <w:p w14:paraId="2F23C4B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0F65FAE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p>
    <w:p w14:paraId="5657D619"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552430">
      <w:pPr>
        <w:widowControl w:val="0"/>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552430">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прискорення існуючих процедур;</w:t>
      </w:r>
    </w:p>
    <w:p w14:paraId="7C71CBFA" w14:textId="77777777" w:rsidR="00552430" w:rsidRDefault="00552430" w:rsidP="00552430">
      <w:pPr>
        <w:numPr>
          <w:ilvl w:val="0"/>
          <w:numId w:val="10"/>
        </w:num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w:t>
      </w:r>
      <w:r>
        <w:rPr>
          <w:rFonts w:ascii="Times New Roman" w:eastAsia="Times New Roman" w:hAnsi="Times New Roman" w:cs="Times New Roman"/>
          <w:color w:val="222222"/>
          <w:sz w:val="24"/>
          <w:szCs w:val="24"/>
        </w:rPr>
        <w:lastRenderedPageBreak/>
        <w:t>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552430">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654F71F7"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3D3FE47" w14:textId="77777777" w:rsidR="00552430" w:rsidRDefault="00552430"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2B3112" w:rsidP="00552430">
      <w:pPr>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552430">
      <w:pPr>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2B3112" w:rsidP="00552430">
      <w:pPr>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552430">
      <w:pPr>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2B3112" w:rsidP="00552430">
      <w:pPr>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552430">
      <w:pPr>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ПОСТАЧАЛЬНИКА: __________.</w:t>
      </w:r>
    </w:p>
    <w:p w14:paraId="510C0159"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1711297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EB7500"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0B223DF" w14:textId="363A430C"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Pr>
          <w:rFonts w:ascii="Times New Roman" w:eastAsia="Times New Roman" w:hAnsi="Times New Roman" w:cs="Times New Roman"/>
          <w:color w:val="222222"/>
          <w:sz w:val="24"/>
          <w:szCs w:val="24"/>
        </w:rPr>
        <w:lastRenderedPageBreak/>
        <w:t xml:space="preserve">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571424A1"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3ACE1CF0" w14:textId="77777777" w:rsidR="00552430" w:rsidRDefault="00552430" w:rsidP="00552430">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E4071C">
      <w:pPr>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552430">
      <w:pPr>
        <w:numPr>
          <w:ilvl w:val="0"/>
          <w:numId w:val="9"/>
        </w:numPr>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552430">
      <w:pPr>
        <w:numPr>
          <w:ilvl w:val="0"/>
          <w:numId w:val="9"/>
        </w:numPr>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166B94C6" w:rsidR="00552430" w:rsidRDefault="00552430" w:rsidP="00552430">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07D37CC" w14:textId="77777777" w:rsidR="00552430" w:rsidRDefault="00552430" w:rsidP="00552430">
      <w:pPr>
        <w:spacing w:line="240" w:lineRule="auto"/>
        <w:jc w:val="both"/>
        <w:rPr>
          <w:rFonts w:ascii="Times New Roman" w:eastAsia="Times New Roman" w:hAnsi="Times New Roman" w:cs="Times New Roman"/>
          <w:color w:val="222222"/>
          <w:sz w:val="24"/>
          <w:szCs w:val="24"/>
        </w:rPr>
      </w:pPr>
    </w:p>
    <w:p w14:paraId="0ED286A5" w14:textId="23944CAB" w:rsidR="00552430" w:rsidRDefault="00552430" w:rsidP="0055243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МІСЦЕЗНАХОДЖЕННЯ І РЕКВІЗИТИ СТОРІН</w:t>
      </w:r>
    </w:p>
    <w:p w14:paraId="3D843365" w14:textId="38372F65" w:rsidR="00552430" w:rsidRDefault="00552430" w:rsidP="00552430">
      <w:pPr>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021331">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lastRenderedPageBreak/>
              <w:t>ЗАМОВНИК</w:t>
            </w:r>
          </w:p>
        </w:tc>
        <w:tc>
          <w:tcPr>
            <w:tcW w:w="5019" w:type="dxa"/>
          </w:tcPr>
          <w:p w14:paraId="1C017D1B" w14:textId="41CCA283" w:rsidR="00021331" w:rsidRPr="00021331" w:rsidRDefault="00021331" w:rsidP="00021331">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021331">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021331">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021331">
            <w:pPr>
              <w:rPr>
                <w:rFonts w:ascii="Times New Roman" w:hAnsi="Times New Roman" w:cs="Times New Roman"/>
                <w:sz w:val="24"/>
                <w:szCs w:val="24"/>
              </w:rPr>
            </w:pPr>
          </w:p>
          <w:p w14:paraId="686B7000"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021331">
            <w:pPr>
              <w:rPr>
                <w:rFonts w:ascii="Times New Roman" w:hAnsi="Times New Roman" w:cs="Times New Roman"/>
                <w:sz w:val="24"/>
                <w:szCs w:val="24"/>
              </w:rPr>
            </w:pPr>
          </w:p>
          <w:p w14:paraId="3A76D0F6"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021331">
            <w:pPr>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F6869EB"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7593BB6"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1040EF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053E077" w14:textId="77777777" w:rsidR="00021331" w:rsidRPr="00021331" w:rsidRDefault="00021331" w:rsidP="00021331">
            <w:pPr>
              <w:jc w:val="center"/>
              <w:rPr>
                <w:rFonts w:ascii="Times New Roman" w:eastAsia="Times New Roman" w:hAnsi="Times New Roman" w:cs="Times New Roman"/>
                <w:b/>
                <w:color w:val="222222"/>
                <w:sz w:val="24"/>
                <w:szCs w:val="24"/>
              </w:rPr>
            </w:pPr>
          </w:p>
          <w:p w14:paraId="2515ECEC"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477094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6A619713" w14:textId="77777777" w:rsidR="00021331" w:rsidRPr="00021331" w:rsidRDefault="00021331" w:rsidP="00021331">
            <w:pPr>
              <w:jc w:val="center"/>
              <w:rPr>
                <w:rFonts w:ascii="Times New Roman" w:eastAsia="Times New Roman" w:hAnsi="Times New Roman" w:cs="Times New Roman"/>
                <w:b/>
                <w:color w:val="222222"/>
                <w:sz w:val="24"/>
                <w:szCs w:val="24"/>
              </w:rPr>
            </w:pPr>
          </w:p>
          <w:p w14:paraId="0140D9BE" w14:textId="77777777" w:rsidR="00021331" w:rsidRPr="00021331" w:rsidRDefault="00021331" w:rsidP="00021331">
            <w:pPr>
              <w:jc w:val="center"/>
              <w:rPr>
                <w:rFonts w:ascii="Times New Roman" w:eastAsia="Times New Roman" w:hAnsi="Times New Roman" w:cs="Times New Roman"/>
                <w:b/>
                <w:color w:val="222222"/>
                <w:sz w:val="24"/>
                <w:szCs w:val="24"/>
              </w:rPr>
            </w:pPr>
          </w:p>
          <w:p w14:paraId="16FF11D0" w14:textId="77777777" w:rsidR="00021331" w:rsidRPr="00021331" w:rsidRDefault="00021331" w:rsidP="00021331">
            <w:pPr>
              <w:jc w:val="center"/>
              <w:rPr>
                <w:rFonts w:ascii="Times New Roman" w:eastAsia="Times New Roman" w:hAnsi="Times New Roman" w:cs="Times New Roman"/>
                <w:b/>
                <w:color w:val="222222"/>
                <w:sz w:val="24"/>
                <w:szCs w:val="24"/>
              </w:rPr>
            </w:pPr>
          </w:p>
          <w:p w14:paraId="525B19F9" w14:textId="77777777" w:rsidR="00021331" w:rsidRPr="00021331" w:rsidRDefault="00021331" w:rsidP="00021331">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021331">
            <w:pPr>
              <w:jc w:val="center"/>
              <w:rPr>
                <w:rFonts w:ascii="Times New Roman" w:eastAsia="Times New Roman" w:hAnsi="Times New Roman" w:cs="Times New Roman"/>
                <w:b/>
                <w:color w:val="222222"/>
                <w:sz w:val="24"/>
                <w:szCs w:val="24"/>
              </w:rPr>
            </w:pPr>
          </w:p>
          <w:p w14:paraId="57A76414" w14:textId="77777777" w:rsidR="00021331" w:rsidRPr="00021331" w:rsidRDefault="00021331" w:rsidP="00021331">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021331">
            <w:pPr>
              <w:rPr>
                <w:rFonts w:ascii="Times New Roman" w:hAnsi="Times New Roman" w:cs="Times New Roman"/>
                <w:sz w:val="24"/>
                <w:szCs w:val="24"/>
              </w:rPr>
            </w:pPr>
          </w:p>
          <w:p w14:paraId="6F770083" w14:textId="370A9039" w:rsidR="00021331" w:rsidRPr="00021331" w:rsidRDefault="00021331" w:rsidP="00021331">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552430">
      <w:pPr>
        <w:spacing w:line="240" w:lineRule="auto"/>
        <w:rPr>
          <w:rFonts w:ascii="Times New Roman" w:eastAsia="Times New Roman" w:hAnsi="Times New Roman" w:cs="Times New Roman"/>
          <w:sz w:val="24"/>
          <w:szCs w:val="24"/>
        </w:rPr>
      </w:pPr>
      <w:r>
        <w:br w:type="page"/>
      </w:r>
    </w:p>
    <w:tbl>
      <w:tblPr>
        <w:tblStyle w:val="af0"/>
        <w:tblW w:w="9639"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39"/>
      </w:tblGrid>
      <w:tr w:rsidR="00053917" w14:paraId="259E18E7" w14:textId="77777777">
        <w:trPr>
          <w:trHeight w:val="1298"/>
        </w:trPr>
        <w:tc>
          <w:tcPr>
            <w:tcW w:w="9639" w:type="dxa"/>
          </w:tcPr>
          <w:p w14:paraId="00000132"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540E568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35"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3D2E23EB" w14:textId="77777777">
        <w:tc>
          <w:tcPr>
            <w:tcW w:w="9639" w:type="dxa"/>
          </w:tcPr>
          <w:p w14:paraId="00000136" w14:textId="77777777" w:rsidR="00053917" w:rsidRDefault="00A22AFD" w:rsidP="0055243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8" w14:textId="7A5CE276" w:rsidR="00053917" w:rsidRDefault="00A22AFD" w:rsidP="007F7302">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tc>
      </w:tr>
      <w:tr w:rsidR="00053917" w14:paraId="3ECA3C8B" w14:textId="77777777">
        <w:tc>
          <w:tcPr>
            <w:tcW w:w="9639" w:type="dxa"/>
          </w:tcPr>
          <w:tbl>
            <w:tblPr>
              <w:tblStyle w:val="af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1320"/>
              <w:gridCol w:w="2400"/>
              <w:gridCol w:w="1276"/>
              <w:gridCol w:w="1134"/>
              <w:gridCol w:w="1137"/>
              <w:gridCol w:w="1983"/>
            </w:tblGrid>
            <w:tr w:rsidR="00053917" w14:paraId="54A2EB78" w14:textId="77777777">
              <w:tc>
                <w:tcPr>
                  <w:tcW w:w="270" w:type="dxa"/>
                  <w:vAlign w:val="center"/>
                </w:tcPr>
                <w:p w14:paraId="0000013E"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w:t>
                  </w:r>
                </w:p>
              </w:tc>
              <w:tc>
                <w:tcPr>
                  <w:tcW w:w="1320" w:type="dxa"/>
                  <w:vAlign w:val="center"/>
                </w:tcPr>
                <w:p w14:paraId="0000013F"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Найменування</w:t>
                  </w:r>
                </w:p>
              </w:tc>
              <w:tc>
                <w:tcPr>
                  <w:tcW w:w="2400" w:type="dxa"/>
                  <w:vAlign w:val="center"/>
                </w:tcPr>
                <w:p w14:paraId="00000140" w14:textId="77777777"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Виробник, країна виробництва продукції</w:t>
                  </w:r>
                </w:p>
              </w:tc>
              <w:tc>
                <w:tcPr>
                  <w:tcW w:w="1276" w:type="dxa"/>
                  <w:vAlign w:val="center"/>
                </w:tcPr>
                <w:p w14:paraId="00000142" w14:textId="69A1AC53"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Од.</w:t>
                  </w:r>
                  <w:r w:rsidR="007F7302">
                    <w:rPr>
                      <w:rFonts w:ascii="Times New Roman" w:eastAsia="Times New Roman" w:hAnsi="Times New Roman" w:cs="Times New Roman"/>
                      <w:b/>
                      <w:color w:val="222222"/>
                      <w:sz w:val="16"/>
                      <w:szCs w:val="16"/>
                    </w:rPr>
                    <w:t xml:space="preserve"> </w:t>
                  </w:r>
                  <w:proofErr w:type="spellStart"/>
                  <w:r>
                    <w:rPr>
                      <w:rFonts w:ascii="Times New Roman" w:eastAsia="Times New Roman" w:hAnsi="Times New Roman" w:cs="Times New Roman"/>
                      <w:b/>
                      <w:color w:val="222222"/>
                      <w:sz w:val="16"/>
                      <w:szCs w:val="16"/>
                    </w:rPr>
                    <w:t>вим</w:t>
                  </w:r>
                  <w:proofErr w:type="spellEnd"/>
                  <w:r>
                    <w:rPr>
                      <w:rFonts w:ascii="Times New Roman" w:eastAsia="Times New Roman" w:hAnsi="Times New Roman" w:cs="Times New Roman"/>
                      <w:b/>
                      <w:color w:val="222222"/>
                      <w:sz w:val="16"/>
                      <w:szCs w:val="16"/>
                    </w:rPr>
                    <w:t>.</w:t>
                  </w:r>
                </w:p>
                <w:p w14:paraId="00000143" w14:textId="77777777" w:rsidR="00053917" w:rsidRDefault="00A22AFD" w:rsidP="00552430">
                  <w:pPr>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(форму випуску, дозування)</w:t>
                  </w:r>
                </w:p>
              </w:tc>
              <w:tc>
                <w:tcPr>
                  <w:tcW w:w="1134" w:type="dxa"/>
                  <w:vAlign w:val="center"/>
                </w:tcPr>
                <w:p w14:paraId="00000144"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Кіл-</w:t>
                  </w:r>
                  <w:proofErr w:type="spellStart"/>
                  <w:r>
                    <w:rPr>
                      <w:rFonts w:ascii="Times New Roman" w:eastAsia="Times New Roman" w:hAnsi="Times New Roman" w:cs="Times New Roman"/>
                      <w:b/>
                      <w:color w:val="222222"/>
                      <w:sz w:val="16"/>
                      <w:szCs w:val="16"/>
                    </w:rPr>
                    <w:t>ть</w:t>
                  </w:r>
                  <w:proofErr w:type="spellEnd"/>
                </w:p>
              </w:tc>
              <w:tc>
                <w:tcPr>
                  <w:tcW w:w="1137" w:type="dxa"/>
                  <w:vAlign w:val="center"/>
                </w:tcPr>
                <w:p w14:paraId="00000145"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Ціна за одиницю, грн.</w:t>
                  </w:r>
                </w:p>
                <w:p w14:paraId="00000146"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без ПДВ</w:t>
                  </w:r>
                </w:p>
              </w:tc>
              <w:tc>
                <w:tcPr>
                  <w:tcW w:w="1983" w:type="dxa"/>
                  <w:vAlign w:val="center"/>
                </w:tcPr>
                <w:p w14:paraId="00000147"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Сума, грн.</w:t>
                  </w:r>
                </w:p>
              </w:tc>
            </w:tr>
            <w:tr w:rsidR="00053917" w14:paraId="09303A5B" w14:textId="77777777">
              <w:tc>
                <w:tcPr>
                  <w:tcW w:w="270" w:type="dxa"/>
                </w:tcPr>
                <w:p w14:paraId="00000148" w14:textId="77777777" w:rsidR="00053917" w:rsidRDefault="00A22AFD"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1</w:t>
                  </w:r>
                </w:p>
              </w:tc>
              <w:tc>
                <w:tcPr>
                  <w:tcW w:w="1320" w:type="dxa"/>
                </w:tcPr>
                <w:p w14:paraId="00000149"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2400" w:type="dxa"/>
                </w:tcPr>
                <w:p w14:paraId="0000014A"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276" w:type="dxa"/>
                </w:tcPr>
                <w:p w14:paraId="0000014B"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134" w:type="dxa"/>
                </w:tcPr>
                <w:p w14:paraId="0000014C"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137" w:type="dxa"/>
                </w:tcPr>
                <w:p w14:paraId="0000014D"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c>
                <w:tcPr>
                  <w:tcW w:w="1983" w:type="dxa"/>
                </w:tcPr>
                <w:p w14:paraId="0000014E"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7F7302" w14:paraId="6B5F3423" w14:textId="77777777">
              <w:tc>
                <w:tcPr>
                  <w:tcW w:w="270" w:type="dxa"/>
                </w:tcPr>
                <w:p w14:paraId="7A507984" w14:textId="6AE6396A" w:rsidR="007F7302" w:rsidRDefault="007F7302"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2</w:t>
                  </w:r>
                </w:p>
              </w:tc>
              <w:tc>
                <w:tcPr>
                  <w:tcW w:w="1320" w:type="dxa"/>
                </w:tcPr>
                <w:p w14:paraId="7C52C924"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2400" w:type="dxa"/>
                </w:tcPr>
                <w:p w14:paraId="0EFB6497"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276" w:type="dxa"/>
                </w:tcPr>
                <w:p w14:paraId="5D4EA7BB"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4" w:type="dxa"/>
                </w:tcPr>
                <w:p w14:paraId="2D859796"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7" w:type="dxa"/>
                </w:tcPr>
                <w:p w14:paraId="7915297C"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983" w:type="dxa"/>
                </w:tcPr>
                <w:p w14:paraId="3BE56BA4"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r>
            <w:tr w:rsidR="007F7302" w14:paraId="2C198A95" w14:textId="77777777">
              <w:tc>
                <w:tcPr>
                  <w:tcW w:w="270" w:type="dxa"/>
                </w:tcPr>
                <w:p w14:paraId="043DC589" w14:textId="2CEDC2F7" w:rsidR="007F7302" w:rsidRDefault="007F7302" w:rsidP="00552430">
                  <w:pPr>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w:t>
                  </w:r>
                </w:p>
              </w:tc>
              <w:tc>
                <w:tcPr>
                  <w:tcW w:w="1320" w:type="dxa"/>
                </w:tcPr>
                <w:p w14:paraId="50CFBCCF"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2400" w:type="dxa"/>
                </w:tcPr>
                <w:p w14:paraId="4C8B3933"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276" w:type="dxa"/>
                </w:tcPr>
                <w:p w14:paraId="141E37DD"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4" w:type="dxa"/>
                </w:tcPr>
                <w:p w14:paraId="6651E70F"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137" w:type="dxa"/>
                </w:tcPr>
                <w:p w14:paraId="6F1A191E"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c>
                <w:tcPr>
                  <w:tcW w:w="1983" w:type="dxa"/>
                </w:tcPr>
                <w:p w14:paraId="5742789A" w14:textId="77777777" w:rsidR="007F7302" w:rsidRDefault="007F7302" w:rsidP="00552430">
                  <w:pPr>
                    <w:spacing w:line="240" w:lineRule="auto"/>
                    <w:jc w:val="center"/>
                    <w:rPr>
                      <w:rFonts w:ascii="Times New Roman" w:eastAsia="Times New Roman" w:hAnsi="Times New Roman" w:cs="Times New Roman"/>
                      <w:color w:val="222222"/>
                      <w:sz w:val="16"/>
                      <w:szCs w:val="16"/>
                    </w:rPr>
                  </w:pPr>
                </w:p>
              </w:tc>
            </w:tr>
            <w:tr w:rsidR="00053917" w14:paraId="1A3B6DC8" w14:textId="77777777">
              <w:trPr>
                <w:trHeight w:val="168"/>
              </w:trPr>
              <w:tc>
                <w:tcPr>
                  <w:tcW w:w="7537" w:type="dxa"/>
                  <w:gridSpan w:val="6"/>
                </w:tcPr>
                <w:p w14:paraId="0000014F"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без ПДВ:</w:t>
                  </w:r>
                </w:p>
              </w:tc>
              <w:tc>
                <w:tcPr>
                  <w:tcW w:w="1983" w:type="dxa"/>
                </w:tcPr>
                <w:p w14:paraId="00000155"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053917" w14:paraId="74EF5863" w14:textId="77777777">
              <w:trPr>
                <w:trHeight w:val="168"/>
              </w:trPr>
              <w:tc>
                <w:tcPr>
                  <w:tcW w:w="7537" w:type="dxa"/>
                  <w:gridSpan w:val="6"/>
                </w:tcPr>
                <w:p w14:paraId="00000156"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ПДВ:</w:t>
                  </w:r>
                </w:p>
              </w:tc>
              <w:tc>
                <w:tcPr>
                  <w:tcW w:w="1983" w:type="dxa"/>
                </w:tcPr>
                <w:p w14:paraId="0000015C"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r w:rsidR="00053917" w14:paraId="1D1EB9CA" w14:textId="77777777">
              <w:trPr>
                <w:trHeight w:val="168"/>
              </w:trPr>
              <w:tc>
                <w:tcPr>
                  <w:tcW w:w="7537" w:type="dxa"/>
                  <w:gridSpan w:val="6"/>
                </w:tcPr>
                <w:p w14:paraId="0000015D" w14:textId="77777777" w:rsidR="00053917" w:rsidRDefault="00A22AFD" w:rsidP="00552430">
                  <w:pPr>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з ПДВ:</w:t>
                  </w:r>
                </w:p>
              </w:tc>
              <w:tc>
                <w:tcPr>
                  <w:tcW w:w="1983" w:type="dxa"/>
                </w:tcPr>
                <w:p w14:paraId="00000163" w14:textId="77777777" w:rsidR="00053917" w:rsidRDefault="00053917" w:rsidP="00552430">
                  <w:pPr>
                    <w:spacing w:line="240" w:lineRule="auto"/>
                    <w:jc w:val="center"/>
                    <w:rPr>
                      <w:rFonts w:ascii="Times New Roman" w:eastAsia="Times New Roman" w:hAnsi="Times New Roman" w:cs="Times New Roman"/>
                      <w:color w:val="222222"/>
                      <w:sz w:val="16"/>
                      <w:szCs w:val="16"/>
                    </w:rPr>
                  </w:pPr>
                </w:p>
              </w:tc>
            </w:tr>
          </w:tbl>
          <w:p w14:paraId="00000164" w14:textId="77777777" w:rsidR="00053917" w:rsidRDefault="00053917" w:rsidP="00552430">
            <w:pPr>
              <w:spacing w:line="240" w:lineRule="auto"/>
              <w:rPr>
                <w:rFonts w:ascii="Times New Roman" w:eastAsia="Times New Roman" w:hAnsi="Times New Roman" w:cs="Times New Roman"/>
                <w:sz w:val="24"/>
                <w:szCs w:val="24"/>
              </w:rPr>
            </w:pPr>
          </w:p>
          <w:p w14:paraId="00000166" w14:textId="4BB4F674"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п.3.5 Договору оплата вартості поставленої продукції здійснюється ЗАМОВНИКОМ протягом </w:t>
            </w:r>
            <w:r w:rsidR="00021331">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двадцяти</w:t>
            </w:r>
            <w:r>
              <w:rPr>
                <w:rFonts w:ascii="Times New Roman" w:eastAsia="Times New Roman" w:hAnsi="Times New Roman" w:cs="Times New Roman"/>
                <w:color w:val="222222"/>
                <w:sz w:val="24"/>
                <w:szCs w:val="24"/>
              </w:rPr>
              <w:t>) банківських днів з моменту підписання Сторонами відповідної видаткової накладної.</w:t>
            </w:r>
          </w:p>
          <w:p w14:paraId="00000167" w14:textId="16FBE952"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4.2. Договору адреса пункту призначення (місце поставки)</w:t>
            </w:r>
            <w:r w:rsidR="000213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 xml:space="preserve">місто Вінниця, вулиця </w:t>
            </w:r>
            <w:proofErr w:type="spellStart"/>
            <w:r w:rsidR="00021331">
              <w:rPr>
                <w:rFonts w:ascii="Times New Roman" w:eastAsia="Times New Roman" w:hAnsi="Times New Roman" w:cs="Times New Roman"/>
                <w:color w:val="222222"/>
                <w:sz w:val="24"/>
                <w:szCs w:val="24"/>
              </w:rPr>
              <w:t>Синьоводська</w:t>
            </w:r>
            <w:proofErr w:type="spellEnd"/>
            <w:r w:rsidR="00021331">
              <w:rPr>
                <w:rFonts w:ascii="Times New Roman" w:eastAsia="Times New Roman" w:hAnsi="Times New Roman" w:cs="Times New Roman"/>
                <w:color w:val="222222"/>
                <w:sz w:val="24"/>
                <w:szCs w:val="24"/>
              </w:rPr>
              <w:t>, будинок 142</w:t>
            </w:r>
          </w:p>
          <w:p w14:paraId="00000168" w14:textId="013DAB51"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 4.1. Договору строк поставки продукції </w:t>
            </w:r>
            <w:r w:rsidR="001D1DDA">
              <w:rPr>
                <w:rFonts w:ascii="Times New Roman" w:eastAsia="Times New Roman" w:hAnsi="Times New Roman" w:cs="Times New Roman"/>
                <w:color w:val="222222"/>
                <w:sz w:val="24"/>
                <w:szCs w:val="24"/>
              </w:rPr>
              <w:t>до 31 грудня 2024</w:t>
            </w:r>
            <w:r w:rsidR="00021331">
              <w:rPr>
                <w:rFonts w:ascii="Times New Roman" w:eastAsia="Times New Roman" w:hAnsi="Times New Roman" w:cs="Times New Roman"/>
                <w:color w:val="222222"/>
                <w:sz w:val="24"/>
                <w:szCs w:val="24"/>
              </w:rPr>
              <w:t xml:space="preserve">р. </w:t>
            </w:r>
          </w:p>
          <w:p w14:paraId="00000169" w14:textId="38B4AFD1" w:rsidR="00053917" w:rsidRDefault="00A22AFD" w:rsidP="007F7302">
            <w:pPr>
              <w:numPr>
                <w:ilvl w:val="0"/>
                <w:numId w:val="7"/>
              </w:numPr>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п. 12.1 Договору цей договір набирає чинності з моменту й</w:t>
            </w:r>
            <w:r w:rsidR="00021331">
              <w:rPr>
                <w:rFonts w:ascii="Times New Roman" w:eastAsia="Times New Roman" w:hAnsi="Times New Roman" w:cs="Times New Roman"/>
                <w:color w:val="222222"/>
                <w:sz w:val="24"/>
                <w:szCs w:val="24"/>
              </w:rPr>
              <w:t>ого підписання та дії до 31 грудня 202</w:t>
            </w:r>
            <w:r w:rsidR="001D1DDA">
              <w:rPr>
                <w:rFonts w:ascii="Times New Roman" w:eastAsia="Times New Roman" w:hAnsi="Times New Roman" w:cs="Times New Roman"/>
                <w:color w:val="222222"/>
                <w:sz w:val="24"/>
                <w:szCs w:val="24"/>
              </w:rPr>
              <w:t>4</w:t>
            </w:r>
            <w:r w:rsidR="00021331">
              <w:rPr>
                <w:rFonts w:ascii="Times New Roman" w:eastAsia="Times New Roman" w:hAnsi="Times New Roman" w:cs="Times New Roman"/>
                <w:color w:val="222222"/>
                <w:sz w:val="24"/>
                <w:szCs w:val="24"/>
              </w:rPr>
              <w:t xml:space="preserve">р., </w:t>
            </w:r>
            <w:r>
              <w:rPr>
                <w:rFonts w:ascii="Times New Roman" w:eastAsia="Times New Roman" w:hAnsi="Times New Roman" w:cs="Times New Roman"/>
                <w:color w:val="222222"/>
                <w:sz w:val="24"/>
                <w:szCs w:val="24"/>
              </w:rPr>
              <w:t>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053917" w14:paraId="6F81893E" w14:textId="77777777">
        <w:tc>
          <w:tcPr>
            <w:tcW w:w="9639" w:type="dxa"/>
          </w:tcPr>
          <w:p w14:paraId="0000016B" w14:textId="385D407E" w:rsidR="00053917" w:rsidRDefault="00A22AFD" w:rsidP="007F73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Примітка: </w:t>
            </w:r>
            <w:r>
              <w:rPr>
                <w:rFonts w:ascii="Times New Roman" w:eastAsia="Times New Roman" w:hAnsi="Times New Roman" w:cs="Times New Roman"/>
                <w:color w:val="222222"/>
                <w:sz w:val="24"/>
                <w:szCs w:val="24"/>
              </w:rPr>
              <w:t xml:space="preserve">за взаємною згодою Сторін можливе внесення змін (уточнень, коригувань тощо) </w:t>
            </w:r>
            <w:r>
              <w:rPr>
                <w:rFonts w:ascii="Times New Roman" w:eastAsia="Times New Roman" w:hAnsi="Times New Roman" w:cs="Times New Roman"/>
                <w:sz w:val="24"/>
                <w:szCs w:val="24"/>
              </w:rPr>
              <w:t>до цієї Специфікації у випадках, передбачених Договором.</w:t>
            </w:r>
          </w:p>
        </w:tc>
      </w:tr>
    </w:tbl>
    <w:p w14:paraId="0000016C" w14:textId="75CE4A01" w:rsidR="00053917" w:rsidRDefault="00053917" w:rsidP="00552430">
      <w:pPr>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021331" w:rsidRDefault="00021331"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610DCF76" w14:textId="77777777" w:rsidR="00021331" w:rsidRPr="00021331" w:rsidRDefault="00021331"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D760A8">
            <w:pPr>
              <w:rPr>
                <w:rFonts w:ascii="Times New Roman" w:hAnsi="Times New Roman" w:cs="Times New Roman"/>
                <w:sz w:val="24"/>
                <w:szCs w:val="24"/>
              </w:rPr>
            </w:pPr>
          </w:p>
          <w:p w14:paraId="505E97CE"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D760A8">
            <w:pPr>
              <w:rPr>
                <w:rFonts w:ascii="Times New Roman" w:hAnsi="Times New Roman" w:cs="Times New Roman"/>
                <w:sz w:val="24"/>
                <w:szCs w:val="24"/>
              </w:rPr>
            </w:pPr>
          </w:p>
          <w:p w14:paraId="0FE747B9"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D760A8">
            <w:pPr>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A3B2C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B2D46C1" w14:textId="77777777" w:rsidR="00021331" w:rsidRPr="00021331" w:rsidRDefault="00021331" w:rsidP="00D760A8">
            <w:pPr>
              <w:jc w:val="center"/>
              <w:rPr>
                <w:rFonts w:ascii="Times New Roman" w:eastAsia="Times New Roman" w:hAnsi="Times New Roman" w:cs="Times New Roman"/>
                <w:b/>
                <w:color w:val="222222"/>
                <w:sz w:val="24"/>
                <w:szCs w:val="24"/>
              </w:rPr>
            </w:pPr>
          </w:p>
          <w:p w14:paraId="43004184"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BDE31E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2D59AA" w14:textId="77777777" w:rsidR="00021331" w:rsidRPr="00021331" w:rsidRDefault="00021331" w:rsidP="00D760A8">
            <w:pPr>
              <w:jc w:val="center"/>
              <w:rPr>
                <w:rFonts w:ascii="Times New Roman" w:eastAsia="Times New Roman" w:hAnsi="Times New Roman" w:cs="Times New Roman"/>
                <w:b/>
                <w:color w:val="222222"/>
                <w:sz w:val="24"/>
                <w:szCs w:val="24"/>
              </w:rPr>
            </w:pPr>
          </w:p>
          <w:p w14:paraId="64D59437" w14:textId="77777777" w:rsidR="00021331" w:rsidRPr="00021331" w:rsidRDefault="00021331" w:rsidP="00D760A8">
            <w:pPr>
              <w:jc w:val="center"/>
              <w:rPr>
                <w:rFonts w:ascii="Times New Roman" w:eastAsia="Times New Roman" w:hAnsi="Times New Roman" w:cs="Times New Roman"/>
                <w:b/>
                <w:color w:val="222222"/>
                <w:sz w:val="24"/>
                <w:szCs w:val="24"/>
              </w:rPr>
            </w:pPr>
          </w:p>
          <w:p w14:paraId="70A3EA6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655FBE" w14:textId="77777777" w:rsidR="00021331" w:rsidRPr="00021331" w:rsidRDefault="00021331" w:rsidP="00D760A8">
            <w:pPr>
              <w:jc w:val="center"/>
              <w:rPr>
                <w:rFonts w:ascii="Times New Roman" w:eastAsia="Times New Roman" w:hAnsi="Times New Roman" w:cs="Times New Roman"/>
                <w:b/>
                <w:color w:val="222222"/>
                <w:sz w:val="24"/>
                <w:szCs w:val="24"/>
              </w:rPr>
            </w:pPr>
          </w:p>
          <w:p w14:paraId="5B16D782" w14:textId="77777777" w:rsidR="00021331" w:rsidRPr="00021331" w:rsidRDefault="00021331" w:rsidP="00D760A8">
            <w:pPr>
              <w:jc w:val="center"/>
              <w:rPr>
                <w:rFonts w:ascii="Times New Roman" w:eastAsia="Times New Roman" w:hAnsi="Times New Roman" w:cs="Times New Roman"/>
                <w:b/>
                <w:color w:val="222222"/>
                <w:sz w:val="24"/>
                <w:szCs w:val="24"/>
              </w:rPr>
            </w:pPr>
          </w:p>
          <w:p w14:paraId="16568E1D" w14:textId="77777777" w:rsidR="00021331" w:rsidRPr="00021331" w:rsidRDefault="00021331"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D760A8">
            <w:pPr>
              <w:jc w:val="center"/>
              <w:rPr>
                <w:rFonts w:ascii="Times New Roman" w:eastAsia="Times New Roman" w:hAnsi="Times New Roman" w:cs="Times New Roman"/>
                <w:b/>
                <w:color w:val="222222"/>
                <w:sz w:val="24"/>
                <w:szCs w:val="24"/>
              </w:rPr>
            </w:pPr>
          </w:p>
          <w:p w14:paraId="5E69F560" w14:textId="77777777" w:rsidR="00021331" w:rsidRPr="00021331" w:rsidRDefault="00021331"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D760A8">
            <w:pPr>
              <w:rPr>
                <w:rFonts w:ascii="Times New Roman" w:hAnsi="Times New Roman" w:cs="Times New Roman"/>
                <w:sz w:val="24"/>
                <w:szCs w:val="24"/>
              </w:rPr>
            </w:pPr>
          </w:p>
          <w:p w14:paraId="288DFE8C" w14:textId="77777777" w:rsidR="00021331" w:rsidRPr="00021331" w:rsidRDefault="00021331"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13DB378E" w:rsidR="00021331" w:rsidRDefault="0002133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tbl>
      <w:tblPr>
        <w:tblStyle w:val="af3"/>
        <w:tblW w:w="93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6"/>
      </w:tblGrid>
      <w:tr w:rsidR="00053917" w14:paraId="26B568B7" w14:textId="77777777">
        <w:tc>
          <w:tcPr>
            <w:tcW w:w="9356" w:type="dxa"/>
          </w:tcPr>
          <w:p w14:paraId="00000175"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00000176" w14:textId="77777777"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77" w14:textId="6FF856C5" w:rsidR="00053917" w:rsidRDefault="00A22AFD" w:rsidP="00552430">
            <w:pPr>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78"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187F0781" w14:textId="77777777">
        <w:tc>
          <w:tcPr>
            <w:tcW w:w="9356" w:type="dxa"/>
          </w:tcPr>
          <w:p w14:paraId="00000179" w14:textId="77777777" w:rsidR="00053917" w:rsidRDefault="00A22AFD"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14:paraId="0000017A" w14:textId="77777777" w:rsidR="00053917" w:rsidRDefault="00A22AFD" w:rsidP="005524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 для проведення лабораторного аналізу серії  лікарських засобів</w:t>
            </w:r>
          </w:p>
          <w:p w14:paraId="0000017B"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5C4F9D3A" w14:textId="77777777">
        <w:tc>
          <w:tcPr>
            <w:tcW w:w="9356" w:type="dxa"/>
          </w:tcPr>
          <w:p w14:paraId="0000017C"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Підставами для лабораторного аналізу серії продукції є: </w:t>
            </w:r>
            <w:r>
              <w:rPr>
                <w:rFonts w:ascii="Times New Roman" w:eastAsia="Times New Roman" w:hAnsi="Times New Roman" w:cs="Times New Roman"/>
                <w:sz w:val="24"/>
                <w:szCs w:val="24"/>
                <w:vertAlign w:val="superscript"/>
              </w:rPr>
              <w:t>*</w:t>
            </w:r>
          </w:p>
          <w:p w14:paraId="0000017D" w14:textId="77777777" w:rsidR="00053917" w:rsidRDefault="00053917" w:rsidP="00552430">
            <w:pPr>
              <w:spacing w:line="240" w:lineRule="auto"/>
              <w:rPr>
                <w:rFonts w:ascii="Times New Roman" w:eastAsia="Times New Roman" w:hAnsi="Times New Roman" w:cs="Times New Roman"/>
                <w:sz w:val="24"/>
                <w:szCs w:val="24"/>
              </w:rPr>
            </w:pPr>
          </w:p>
        </w:tc>
      </w:tr>
      <w:tr w:rsidR="00053917" w14:paraId="754FB134" w14:textId="77777777">
        <w:tc>
          <w:tcPr>
            <w:tcW w:w="9356" w:type="dxa"/>
          </w:tcPr>
          <w:p w14:paraId="0000017E"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r>
      <w:tr w:rsidR="00053917" w14:paraId="0D4E10C1" w14:textId="77777777">
        <w:tc>
          <w:tcPr>
            <w:tcW w:w="9356" w:type="dxa"/>
          </w:tcPr>
          <w:p w14:paraId="0000017F"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розбіжностей у супровідних документах до серій продукції;</w:t>
            </w:r>
          </w:p>
        </w:tc>
      </w:tr>
      <w:tr w:rsidR="00053917" w14:paraId="06E56F25" w14:textId="77777777">
        <w:tc>
          <w:tcPr>
            <w:tcW w:w="9356" w:type="dxa"/>
          </w:tcPr>
          <w:p w14:paraId="00000180"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під час візуального огляду ознак фальсифікації серії або серій продукції;</w:t>
            </w:r>
          </w:p>
        </w:tc>
      </w:tr>
      <w:tr w:rsidR="00053917" w14:paraId="2AE5864E" w14:textId="77777777">
        <w:tc>
          <w:tcPr>
            <w:tcW w:w="9356" w:type="dxa"/>
          </w:tcPr>
          <w:p w14:paraId="00000181"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r>
      <w:tr w:rsidR="00053917" w14:paraId="425E2A17" w14:textId="77777777">
        <w:tc>
          <w:tcPr>
            <w:tcW w:w="9356" w:type="dxa"/>
          </w:tcPr>
          <w:p w14:paraId="00000182"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встановлення факту </w:t>
            </w:r>
            <w:proofErr w:type="spellStart"/>
            <w:r>
              <w:rPr>
                <w:rFonts w:ascii="Times New Roman" w:eastAsia="Times New Roman" w:hAnsi="Times New Roman" w:cs="Times New Roman"/>
                <w:sz w:val="24"/>
                <w:szCs w:val="24"/>
              </w:rPr>
              <w:t>невключення</w:t>
            </w:r>
            <w:proofErr w:type="spellEnd"/>
            <w:r>
              <w:rPr>
                <w:rFonts w:ascii="Times New Roman" w:eastAsia="Times New Roman" w:hAnsi="Times New Roman" w:cs="Times New Roman"/>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r>
      <w:tr w:rsidR="00053917" w14:paraId="31818055" w14:textId="77777777">
        <w:tc>
          <w:tcPr>
            <w:tcW w:w="9356" w:type="dxa"/>
          </w:tcPr>
          <w:p w14:paraId="00000183"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продукції, яка не належать до лікарських засобів, підприємства з виробництва яких розташовані в державах, уповноважений орган у сфері контролю якості лікарських засобів яких є членом міжнародної Системи співробітництва фармацевтичних інспекцій (</w:t>
            </w:r>
            <w:proofErr w:type="spellStart"/>
            <w:r>
              <w:rPr>
                <w:rFonts w:ascii="Times New Roman" w:eastAsia="Times New Roman" w:hAnsi="Times New Roman" w:cs="Times New Roman"/>
                <w:sz w:val="24"/>
                <w:szCs w:val="24"/>
              </w:rPr>
              <w:t>Pharmaceutical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Scheme</w:t>
            </w:r>
            <w:proofErr w:type="spellEnd"/>
            <w:r>
              <w:rPr>
                <w:rFonts w:ascii="Times New Roman" w:eastAsia="Times New Roman" w:hAnsi="Times New Roman" w:cs="Times New Roman"/>
                <w:sz w:val="24"/>
                <w:szCs w:val="24"/>
              </w:rPr>
              <w:t>, PIC/S);</w:t>
            </w:r>
          </w:p>
        </w:tc>
      </w:tr>
      <w:tr w:rsidR="00053917" w14:paraId="50251DC3" w14:textId="77777777">
        <w:tc>
          <w:tcPr>
            <w:tcW w:w="9356" w:type="dxa"/>
          </w:tcPr>
          <w:p w14:paraId="00000184"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упаковки продукції графічному зображенню упаковки, яке надане власником реєстраційного посвідчення;</w:t>
            </w:r>
          </w:p>
        </w:tc>
      </w:tr>
      <w:tr w:rsidR="00053917" w14:paraId="3AF3965C" w14:textId="77777777">
        <w:tc>
          <w:tcPr>
            <w:tcW w:w="9356" w:type="dxa"/>
          </w:tcPr>
          <w:p w14:paraId="00000185"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r>
      <w:tr w:rsidR="00053917" w14:paraId="2DDC1D11" w14:textId="77777777">
        <w:tc>
          <w:tcPr>
            <w:tcW w:w="9356" w:type="dxa"/>
          </w:tcPr>
          <w:p w14:paraId="00000186"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rFonts w:ascii="Times New Roman" w:eastAsia="Times New Roman" w:hAnsi="Times New Roman" w:cs="Times New Roman"/>
                <w:color w:val="222222"/>
                <w:sz w:val="24"/>
                <w:szCs w:val="24"/>
              </w:rPr>
              <w:t xml:space="preserve"> а також</w:t>
            </w:r>
            <w:r>
              <w:rPr>
                <w:rFonts w:ascii="Times New Roman" w:eastAsia="Times New Roman" w:hAnsi="Times New Roman" w:cs="Times New Roman"/>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sz w:val="24"/>
                <w:szCs w:val="24"/>
              </w:rPr>
              <w:t>термотестерами</w:t>
            </w:r>
            <w:proofErr w:type="spellEnd"/>
            <w:r>
              <w:rPr>
                <w:rFonts w:ascii="Times New Roman" w:eastAsia="Times New Roman" w:hAnsi="Times New Roman" w:cs="Times New Roman"/>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r>
      <w:tr w:rsidR="00053917" w14:paraId="7053E040" w14:textId="77777777">
        <w:tc>
          <w:tcPr>
            <w:tcW w:w="9356" w:type="dxa"/>
          </w:tcPr>
          <w:p w14:paraId="00000187"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наявність інформації про заборону обігу інших серій продукції, які було вилучено з обігу в установленому порядку;</w:t>
            </w:r>
          </w:p>
          <w:p w14:paraId="00000188" w14:textId="77777777" w:rsidR="00053917" w:rsidRDefault="00053917" w:rsidP="00552430">
            <w:pPr>
              <w:shd w:val="clear" w:color="auto" w:fill="FFFFFF"/>
              <w:spacing w:line="240" w:lineRule="auto"/>
              <w:ind w:firstLine="700"/>
              <w:jc w:val="both"/>
              <w:rPr>
                <w:rFonts w:ascii="Times New Roman" w:eastAsia="Times New Roman" w:hAnsi="Times New Roman" w:cs="Times New Roman"/>
                <w:sz w:val="24"/>
                <w:szCs w:val="24"/>
              </w:rPr>
            </w:pPr>
          </w:p>
        </w:tc>
      </w:tr>
      <w:tr w:rsidR="00053917" w14:paraId="5CCEF79A" w14:textId="77777777">
        <w:tc>
          <w:tcPr>
            <w:tcW w:w="9356" w:type="dxa"/>
          </w:tcPr>
          <w:p w14:paraId="00000189" w14:textId="77777777" w:rsidR="00053917" w:rsidRDefault="00A22AFD" w:rsidP="0055243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офіційної інформації про неналежну якість продукції від компетентних регуляторних органів інших держав;</w:t>
            </w:r>
          </w:p>
        </w:tc>
      </w:tr>
      <w:tr w:rsidR="00053917" w14:paraId="0AFDAEA2" w14:textId="77777777">
        <w:tc>
          <w:tcPr>
            <w:tcW w:w="9356" w:type="dxa"/>
          </w:tcPr>
          <w:p w14:paraId="0000018A" w14:textId="77777777" w:rsidR="00053917" w:rsidRDefault="00A22AFD" w:rsidP="005524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tc>
      </w:tr>
    </w:tbl>
    <w:p w14:paraId="0000018B" w14:textId="4520CE47" w:rsidR="00053917" w:rsidRDefault="00053917" w:rsidP="00552430">
      <w:pPr>
        <w:widowControl w:val="0"/>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A22AFD" w:rsidRPr="00021331" w14:paraId="1FDEF376" w14:textId="77777777" w:rsidTr="00D760A8">
        <w:tc>
          <w:tcPr>
            <w:tcW w:w="5019" w:type="dxa"/>
          </w:tcPr>
          <w:p w14:paraId="2146D1B0" w14:textId="77777777" w:rsidR="00A22AFD" w:rsidRPr="00021331" w:rsidRDefault="00A22AFD" w:rsidP="00D760A8">
            <w:pPr>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34E7135F" w14:textId="77777777" w:rsidR="00A22AFD" w:rsidRPr="00021331" w:rsidRDefault="00A22AFD" w:rsidP="00D760A8">
            <w:pPr>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A22AFD" w:rsidRPr="00021331" w14:paraId="7A72A2C0" w14:textId="77777777" w:rsidTr="00D760A8">
        <w:tc>
          <w:tcPr>
            <w:tcW w:w="5019" w:type="dxa"/>
          </w:tcPr>
          <w:p w14:paraId="472EC870"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68CC50F8"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014B2399" w14:textId="77777777" w:rsidR="00A22AFD" w:rsidRPr="00021331" w:rsidRDefault="00A22AFD" w:rsidP="00D760A8">
            <w:pPr>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AA14E78"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594C19A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5781DD1C"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2C0C5E27"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184D5FB"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1011F9E5"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1CAC7579"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ІПН 255002102283</w:t>
            </w:r>
          </w:p>
          <w:p w14:paraId="1F236E0A" w14:textId="77777777" w:rsidR="00A22AFD" w:rsidRPr="00021331" w:rsidRDefault="00A22AFD" w:rsidP="00D760A8">
            <w:pP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2D412943" w14:textId="77777777" w:rsidR="00A22AFD" w:rsidRPr="00021331" w:rsidRDefault="00A22AFD" w:rsidP="00D760A8">
            <w:pPr>
              <w:rPr>
                <w:rFonts w:ascii="Times New Roman" w:hAnsi="Times New Roman" w:cs="Times New Roman"/>
                <w:sz w:val="24"/>
                <w:szCs w:val="24"/>
              </w:rPr>
            </w:pPr>
          </w:p>
          <w:p w14:paraId="37D8A896"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0DC853A5" w14:textId="77777777" w:rsidR="00A22AFD" w:rsidRPr="00021331" w:rsidRDefault="00A22AFD" w:rsidP="00D760A8">
            <w:pPr>
              <w:rPr>
                <w:rFonts w:ascii="Times New Roman" w:hAnsi="Times New Roman" w:cs="Times New Roman"/>
                <w:sz w:val="24"/>
                <w:szCs w:val="24"/>
              </w:rPr>
            </w:pPr>
          </w:p>
          <w:p w14:paraId="593D898D"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28D2D14C" w14:textId="77777777" w:rsidR="00A22AFD" w:rsidRPr="00021331" w:rsidRDefault="00A22AFD" w:rsidP="00D760A8">
            <w:pPr>
              <w:jc w:val="center"/>
              <w:rPr>
                <w:rFonts w:ascii="Times New Roman" w:eastAsia="Times New Roman" w:hAnsi="Times New Roman" w:cs="Times New Roman"/>
                <w:b/>
                <w:color w:val="222222"/>
                <w:sz w:val="24"/>
                <w:szCs w:val="24"/>
              </w:rPr>
            </w:pPr>
          </w:p>
        </w:tc>
        <w:tc>
          <w:tcPr>
            <w:tcW w:w="5019" w:type="dxa"/>
          </w:tcPr>
          <w:p w14:paraId="3AB419B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A4C4C4A"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C178A8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3E2B0AA1" w14:textId="77777777" w:rsidR="00A22AFD" w:rsidRPr="00021331" w:rsidRDefault="00A22AFD" w:rsidP="00D760A8">
            <w:pPr>
              <w:jc w:val="center"/>
              <w:rPr>
                <w:rFonts w:ascii="Times New Roman" w:eastAsia="Times New Roman" w:hAnsi="Times New Roman" w:cs="Times New Roman"/>
                <w:b/>
                <w:color w:val="222222"/>
                <w:sz w:val="24"/>
                <w:szCs w:val="24"/>
              </w:rPr>
            </w:pPr>
          </w:p>
          <w:p w14:paraId="1443A04D"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1696D5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44943B08" w14:textId="77777777" w:rsidR="00A22AFD" w:rsidRPr="00021331" w:rsidRDefault="00A22AFD" w:rsidP="00D760A8">
            <w:pPr>
              <w:jc w:val="center"/>
              <w:rPr>
                <w:rFonts w:ascii="Times New Roman" w:eastAsia="Times New Roman" w:hAnsi="Times New Roman" w:cs="Times New Roman"/>
                <w:b/>
                <w:color w:val="222222"/>
                <w:sz w:val="24"/>
                <w:szCs w:val="24"/>
              </w:rPr>
            </w:pPr>
          </w:p>
          <w:p w14:paraId="05A983FE"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3395D4C" w14:textId="77777777" w:rsidR="00A22AFD" w:rsidRPr="00021331" w:rsidRDefault="00A22AFD" w:rsidP="00D760A8">
            <w:pPr>
              <w:jc w:val="center"/>
              <w:rPr>
                <w:rFonts w:ascii="Times New Roman" w:eastAsia="Times New Roman" w:hAnsi="Times New Roman" w:cs="Times New Roman"/>
                <w:b/>
                <w:color w:val="222222"/>
                <w:sz w:val="24"/>
                <w:szCs w:val="24"/>
              </w:rPr>
            </w:pPr>
          </w:p>
          <w:p w14:paraId="5ABD0506" w14:textId="77777777" w:rsidR="00A22AFD" w:rsidRPr="00021331" w:rsidRDefault="00A22AFD" w:rsidP="00D760A8">
            <w:pPr>
              <w:jc w:val="center"/>
              <w:rPr>
                <w:rFonts w:ascii="Times New Roman" w:eastAsia="Times New Roman" w:hAnsi="Times New Roman" w:cs="Times New Roman"/>
                <w:b/>
                <w:color w:val="222222"/>
                <w:sz w:val="24"/>
                <w:szCs w:val="24"/>
              </w:rPr>
            </w:pPr>
          </w:p>
          <w:p w14:paraId="20769DE9" w14:textId="77777777" w:rsidR="00A22AFD" w:rsidRPr="00021331" w:rsidRDefault="00A22AFD" w:rsidP="00D760A8">
            <w:pPr>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94A840" w14:textId="77777777" w:rsidR="00A22AFD" w:rsidRDefault="00A22AFD" w:rsidP="00D760A8">
            <w:pPr>
              <w:jc w:val="center"/>
              <w:rPr>
                <w:rFonts w:ascii="Times New Roman" w:eastAsia="Times New Roman" w:hAnsi="Times New Roman" w:cs="Times New Roman"/>
                <w:b/>
                <w:color w:val="222222"/>
                <w:sz w:val="24"/>
                <w:szCs w:val="24"/>
              </w:rPr>
            </w:pPr>
          </w:p>
          <w:p w14:paraId="3F073FFE" w14:textId="77777777" w:rsidR="00A22AFD" w:rsidRPr="00021331" w:rsidRDefault="00A22AFD" w:rsidP="00D760A8">
            <w:pPr>
              <w:rPr>
                <w:rFonts w:ascii="Times New Roman" w:hAnsi="Times New Roman" w:cs="Times New Roman"/>
                <w:sz w:val="24"/>
                <w:szCs w:val="24"/>
              </w:rPr>
            </w:pPr>
            <w:r w:rsidRPr="00021331">
              <w:rPr>
                <w:rFonts w:ascii="Times New Roman" w:hAnsi="Times New Roman" w:cs="Times New Roman"/>
                <w:sz w:val="24"/>
                <w:szCs w:val="24"/>
              </w:rPr>
              <w:t>Директор</w:t>
            </w:r>
          </w:p>
          <w:p w14:paraId="142EDB94" w14:textId="77777777" w:rsidR="00A22AFD" w:rsidRPr="00021331" w:rsidRDefault="00A22AFD" w:rsidP="00D760A8">
            <w:pPr>
              <w:rPr>
                <w:rFonts w:ascii="Times New Roman" w:hAnsi="Times New Roman" w:cs="Times New Roman"/>
                <w:sz w:val="24"/>
                <w:szCs w:val="24"/>
              </w:rPr>
            </w:pPr>
          </w:p>
          <w:p w14:paraId="64AA75B6" w14:textId="77777777" w:rsidR="00A22AFD" w:rsidRPr="00021331" w:rsidRDefault="00A22AFD" w:rsidP="00D760A8">
            <w:pPr>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3B31EC50" w14:textId="05437BD4" w:rsidR="00A22AFD" w:rsidRDefault="00A22AFD" w:rsidP="00A22AFD">
      <w:pPr>
        <w:widowControl w:val="0"/>
        <w:spacing w:line="240" w:lineRule="auto"/>
        <w:rPr>
          <w:rFonts w:ascii="Times New Roman" w:eastAsia="Times New Roman" w:hAnsi="Times New Roman" w:cs="Times New Roman"/>
          <w:sz w:val="24"/>
          <w:szCs w:val="24"/>
        </w:rPr>
      </w:pPr>
    </w:p>
    <w:sectPr w:rsidR="00A22AFD">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708CA"/>
    <w:rsid w:val="00175851"/>
    <w:rsid w:val="001D1DDA"/>
    <w:rsid w:val="00255D59"/>
    <w:rsid w:val="002B3112"/>
    <w:rsid w:val="00320A0B"/>
    <w:rsid w:val="004E1708"/>
    <w:rsid w:val="00511BC7"/>
    <w:rsid w:val="00552430"/>
    <w:rsid w:val="007F7302"/>
    <w:rsid w:val="008F21A0"/>
    <w:rsid w:val="00A22AFD"/>
    <w:rsid w:val="00B2224D"/>
    <w:rsid w:val="00E4071C"/>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2224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2224D"/>
    <w:rPr>
      <w:rFonts w:ascii="Segoe UI" w:hAnsi="Segoe UI" w:cs="Segoe UI"/>
      <w:sz w:val="18"/>
      <w:szCs w:val="18"/>
    </w:rPr>
  </w:style>
  <w:style w:type="paragraph" w:styleId="afc">
    <w:name w:val="annotation subject"/>
    <w:basedOn w:val="af5"/>
    <w:next w:val="af5"/>
    <w:link w:val="afd"/>
    <w:uiPriority w:val="99"/>
    <w:semiHidden/>
    <w:unhideWhenUsed/>
    <w:rsid w:val="001D1DDA"/>
    <w:rPr>
      <w:b/>
      <w:bCs/>
    </w:rPr>
  </w:style>
  <w:style w:type="character" w:customStyle="1" w:styleId="afd">
    <w:name w:val="Тема примечания Знак"/>
    <w:basedOn w:val="af6"/>
    <w:link w:val="afc"/>
    <w:uiPriority w:val="99"/>
    <w:semiHidden/>
    <w:rsid w:val="001D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657">
      <w:bodyDiv w:val="1"/>
      <w:marLeft w:val="0"/>
      <w:marRight w:val="0"/>
      <w:marTop w:val="0"/>
      <w:marBottom w:val="0"/>
      <w:divBdr>
        <w:top w:val="none" w:sz="0" w:space="0" w:color="auto"/>
        <w:left w:val="none" w:sz="0" w:space="0" w:color="auto"/>
        <w:bottom w:val="none" w:sz="0" w:space="0" w:color="auto"/>
        <w:right w:val="none" w:sz="0" w:space="0" w:color="auto"/>
      </w:divBdr>
    </w:div>
    <w:div w:id="195895379">
      <w:bodyDiv w:val="1"/>
      <w:marLeft w:val="0"/>
      <w:marRight w:val="0"/>
      <w:marTop w:val="0"/>
      <w:marBottom w:val="0"/>
      <w:divBdr>
        <w:top w:val="none" w:sz="0" w:space="0" w:color="auto"/>
        <w:left w:val="none" w:sz="0" w:space="0" w:color="auto"/>
        <w:bottom w:val="none" w:sz="0" w:space="0" w:color="auto"/>
        <w:right w:val="none" w:sz="0" w:space="0" w:color="auto"/>
      </w:divBdr>
    </w:div>
    <w:div w:id="1187910576">
      <w:bodyDiv w:val="1"/>
      <w:marLeft w:val="0"/>
      <w:marRight w:val="0"/>
      <w:marTop w:val="0"/>
      <w:marBottom w:val="0"/>
      <w:divBdr>
        <w:top w:val="none" w:sz="0" w:space="0" w:color="auto"/>
        <w:left w:val="none" w:sz="0" w:space="0" w:color="auto"/>
        <w:bottom w:val="none" w:sz="0" w:space="0" w:color="auto"/>
        <w:right w:val="none" w:sz="0" w:space="0" w:color="auto"/>
      </w:divBdr>
    </w:div>
    <w:div w:id="1558778975">
      <w:bodyDiv w:val="1"/>
      <w:marLeft w:val="0"/>
      <w:marRight w:val="0"/>
      <w:marTop w:val="0"/>
      <w:marBottom w:val="0"/>
      <w:divBdr>
        <w:top w:val="none" w:sz="0" w:space="0" w:color="auto"/>
        <w:left w:val="none" w:sz="0" w:space="0" w:color="auto"/>
        <w:bottom w:val="none" w:sz="0" w:space="0" w:color="auto"/>
        <w:right w:val="none" w:sz="0" w:space="0" w:color="auto"/>
      </w:divBdr>
    </w:div>
    <w:div w:id="193285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10</cp:revision>
  <dcterms:created xsi:type="dcterms:W3CDTF">2023-07-31T08:21:00Z</dcterms:created>
  <dcterms:modified xsi:type="dcterms:W3CDTF">2024-03-18T17:50:00Z</dcterms:modified>
</cp:coreProperties>
</file>