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2309B815" w14:textId="2EA76D3C"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206722FA"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2FB59AC7" w14:textId="64FF827B" w:rsidR="00F27E09" w:rsidRDefault="00F27E09" w:rsidP="00F27E09">
      <w:pPr>
        <w:pBdr>
          <w:top w:val="nil"/>
          <w:left w:val="nil"/>
          <w:bottom w:val="nil"/>
          <w:right w:val="nil"/>
          <w:between w:val="nil"/>
        </w:pBdr>
        <w:shd w:val="clear" w:color="auto" w:fill="FFFFFF"/>
        <w:spacing w:line="240" w:lineRule="auto"/>
        <w:ind w:leftChars="0" w:left="-2" w:firstLineChars="0" w:firstLine="0"/>
        <w:rPr>
          <w:b/>
          <w:color w:val="000000"/>
          <w:sz w:val="28"/>
          <w:szCs w:val="28"/>
          <w:lang w:val="uk-UA"/>
        </w:rPr>
      </w:pPr>
    </w:p>
    <w:tbl>
      <w:tblPr>
        <w:tblW w:w="10055" w:type="dxa"/>
        <w:jc w:val="center"/>
        <w:tblLayout w:type="fixed"/>
        <w:tblLook w:val="0400" w:firstRow="0" w:lastRow="0" w:firstColumn="0" w:lastColumn="0" w:noHBand="0" w:noVBand="1"/>
      </w:tblPr>
      <w:tblGrid>
        <w:gridCol w:w="490"/>
        <w:gridCol w:w="2902"/>
        <w:gridCol w:w="6663"/>
      </w:tblGrid>
      <w:tr w:rsidR="00F27E09" w:rsidRPr="00416023" w14:paraId="57D7E201" w14:textId="77777777" w:rsidTr="00F81DC7">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62DE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C4772"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DA74B" w14:textId="77777777"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416023" w:rsidRPr="00416023" w14:paraId="63DEE479" w14:textId="77777777" w:rsidTr="00F81DC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2093" w14:textId="77777777" w:rsidR="00416023" w:rsidRPr="00D27EED" w:rsidRDefault="00416023" w:rsidP="00416023">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4AC69" w14:textId="50FA07DA" w:rsidR="00416023" w:rsidRPr="00D27EED" w:rsidRDefault="00416023" w:rsidP="00416023">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6CE66" w14:textId="79C2EE5C" w:rsidR="00416023" w:rsidRPr="00D27EED" w:rsidRDefault="00416023" w:rsidP="00416023">
            <w:pPr>
              <w:widowControl w:val="0"/>
              <w:tabs>
                <w:tab w:val="left" w:pos="1080"/>
              </w:tabs>
              <w:spacing w:line="240" w:lineRule="auto"/>
              <w:ind w:left="0" w:hanging="2"/>
              <w:jc w:val="both"/>
              <w:rPr>
                <w:sz w:val="22"/>
                <w:szCs w:val="22"/>
                <w:lang w:val="uk-UA"/>
              </w:rPr>
            </w:pPr>
            <w:r>
              <w:rPr>
                <w:sz w:val="22"/>
                <w:szCs w:val="22"/>
                <w:lang w:val="uk-UA"/>
              </w:rPr>
              <w:t>1</w:t>
            </w:r>
            <w:r w:rsidRPr="00D27EED">
              <w:rPr>
                <w:sz w:val="22"/>
                <w:szCs w:val="22"/>
                <w:lang w:val="uk-UA"/>
              </w:rPr>
              <w:t>.1. Довідка в довільній формі, про виконання учасником процедури закупівлі аналогічного (аналогічних)* за предметом закупівлі договору (договорів).</w:t>
            </w:r>
          </w:p>
          <w:p w14:paraId="2E88E856" w14:textId="053BFA7F" w:rsidR="00416023" w:rsidRPr="00D27EED" w:rsidRDefault="00416023" w:rsidP="00416023">
            <w:pPr>
              <w:widowControl w:val="0"/>
              <w:tabs>
                <w:tab w:val="left" w:pos="1080"/>
              </w:tabs>
              <w:spacing w:line="240" w:lineRule="auto"/>
              <w:ind w:left="0" w:hanging="2"/>
              <w:jc w:val="both"/>
              <w:rPr>
                <w:sz w:val="22"/>
                <w:szCs w:val="22"/>
                <w:lang w:val="uk-UA"/>
              </w:rPr>
            </w:pPr>
            <w:r>
              <w:rPr>
                <w:sz w:val="22"/>
                <w:szCs w:val="22"/>
                <w:lang w:val="uk-UA"/>
              </w:rPr>
              <w:t>1</w:t>
            </w:r>
            <w:r w:rsidRPr="00D27EED">
              <w:rPr>
                <w:sz w:val="22"/>
                <w:szCs w:val="22"/>
                <w:lang w:val="uk-UA"/>
              </w:rPr>
              <w:t>.2. На підтвердження інформації зазначеної у довідці учасник надає наступні документи:</w:t>
            </w:r>
          </w:p>
          <w:p w14:paraId="5545F771" w14:textId="77777777" w:rsidR="00416023" w:rsidRPr="00D27EED" w:rsidRDefault="00416023" w:rsidP="00416023">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w:t>
            </w:r>
            <w:proofErr w:type="spellStart"/>
            <w:r w:rsidRPr="00D27EED">
              <w:rPr>
                <w:sz w:val="22"/>
                <w:szCs w:val="22"/>
                <w:lang w:val="uk-UA"/>
              </w:rPr>
              <w:t>их</w:t>
            </w:r>
            <w:proofErr w:type="spellEnd"/>
            <w:r w:rsidRPr="00D27EED">
              <w:rPr>
                <w:sz w:val="22"/>
                <w:szCs w:val="22"/>
                <w:lang w:val="uk-UA"/>
              </w:rPr>
              <w:t>) договору(</w:t>
            </w:r>
            <w:proofErr w:type="spellStart"/>
            <w:r w:rsidRPr="00D27EED">
              <w:rPr>
                <w:sz w:val="22"/>
                <w:szCs w:val="22"/>
                <w:lang w:val="uk-UA"/>
              </w:rPr>
              <w:t>ів</w:t>
            </w:r>
            <w:proofErr w:type="spellEnd"/>
            <w:r w:rsidRPr="00D27EED">
              <w:rPr>
                <w:sz w:val="22"/>
                <w:szCs w:val="22"/>
                <w:lang w:val="uk-UA"/>
              </w:rPr>
              <w:t>);</w:t>
            </w:r>
          </w:p>
          <w:p w14:paraId="78329FD6" w14:textId="77777777" w:rsidR="00416023" w:rsidRPr="00D27EED" w:rsidRDefault="00416023" w:rsidP="00416023">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492AC343" w14:textId="77777777" w:rsidR="00416023" w:rsidRPr="00D27EED" w:rsidRDefault="00416023" w:rsidP="00416023">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26E96BF2" w14:textId="660827EF" w:rsidR="00416023" w:rsidRPr="00D27EED" w:rsidRDefault="00416023" w:rsidP="00416023">
            <w:pPr>
              <w:widowControl w:val="0"/>
              <w:tabs>
                <w:tab w:val="left" w:pos="1080"/>
              </w:tabs>
              <w:spacing w:line="240" w:lineRule="auto"/>
              <w:ind w:left="0" w:hanging="2"/>
              <w:jc w:val="both"/>
              <w:rPr>
                <w:color w:val="4F81BD" w:themeColor="accent1"/>
                <w:position w:val="0"/>
                <w:sz w:val="22"/>
                <w:szCs w:val="22"/>
                <w:lang w:val="uk-UA"/>
              </w:rPr>
            </w:pPr>
            <w:r w:rsidRPr="00D27EED">
              <w:rPr>
                <w:b/>
                <w:bCs/>
                <w:i/>
                <w:iCs/>
                <w:sz w:val="22"/>
                <w:szCs w:val="22"/>
                <w:lang w:val="uk-UA"/>
              </w:rPr>
              <w:t>*</w:t>
            </w:r>
            <w:r>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Pr>
                <w:b/>
                <w:bCs/>
                <w:i/>
                <w:iCs/>
                <w:sz w:val="22"/>
                <w:szCs w:val="22"/>
                <w:lang w:val="uk-UA"/>
              </w:rPr>
              <w:t>:</w:t>
            </w:r>
            <w:r w:rsidRPr="00D27EED">
              <w:rPr>
                <w:b/>
                <w:bCs/>
                <w:i/>
                <w:iCs/>
                <w:sz w:val="22"/>
                <w:szCs w:val="22"/>
                <w:lang w:val="uk-UA"/>
              </w:rPr>
              <w:t xml:space="preserve"> </w:t>
            </w:r>
            <w:r w:rsidRPr="00416023">
              <w:rPr>
                <w:b/>
                <w:bCs/>
                <w:i/>
                <w:iCs/>
                <w:sz w:val="22"/>
                <w:szCs w:val="22"/>
                <w:lang w:val="uk-UA"/>
              </w:rPr>
              <w:t>32320000-2 - Телевізійне й аудіовізуальне обладнання</w:t>
            </w:r>
            <w:r>
              <w:rPr>
                <w:b/>
                <w:bCs/>
                <w:i/>
                <w:iCs/>
                <w:sz w:val="22"/>
                <w:szCs w:val="22"/>
                <w:lang w:val="uk-UA"/>
              </w:rPr>
              <w:t xml:space="preserve"> </w:t>
            </w:r>
            <w:r w:rsidRPr="002409FA">
              <w:rPr>
                <w:b/>
                <w:bCs/>
                <w:i/>
                <w:iCs/>
                <w:sz w:val="22"/>
                <w:szCs w:val="22"/>
                <w:lang w:val="uk-UA"/>
              </w:rPr>
              <w:t>за ДК 021:2015 Єдиного закупівельного словника</w:t>
            </w:r>
          </w:p>
        </w:tc>
      </w:tr>
    </w:tbl>
    <w:p w14:paraId="445AD744" w14:textId="77777777" w:rsidR="00F27E09" w:rsidRPr="00F27E09" w:rsidRDefault="00F27E09" w:rsidP="00F27E09">
      <w:pPr>
        <w:suppressAutoHyphens w:val="0"/>
        <w:spacing w:line="240" w:lineRule="auto"/>
        <w:ind w:leftChars="0" w:left="0" w:firstLineChars="0" w:firstLine="720"/>
        <w:jc w:val="both"/>
        <w:textDirection w:val="lrTb"/>
        <w:textAlignment w:val="auto"/>
        <w:outlineLvl w:val="9"/>
        <w:rPr>
          <w:position w:val="0"/>
          <w:sz w:val="20"/>
          <w:szCs w:val="20"/>
          <w:lang w:val="uk-UA"/>
        </w:rPr>
      </w:pPr>
      <w:r w:rsidRPr="00F27E09">
        <w:rPr>
          <w:i/>
          <w:color w:val="000000"/>
          <w:position w:val="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2FCD4A" w14:textId="77777777" w:rsidR="00D409DE" w:rsidRPr="00F27E09" w:rsidRDefault="00D409DE"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14:paraId="5B06971E" w14:textId="4B02ADBF" w:rsidR="008940F2" w:rsidRPr="00EC5068" w:rsidRDefault="00D054E1" w:rsidP="00D409DE">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4EDB1B78" w:rsidR="00071C9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w:t>
      </w:r>
      <w:r w:rsidRPr="00207F39">
        <w:rPr>
          <w:i/>
          <w:iCs/>
          <w:position w:val="0"/>
          <w:sz w:val="22"/>
          <w:szCs w:val="22"/>
          <w:lang w:val="uk-UA"/>
        </w:rPr>
        <w:lastRenderedPageBreak/>
        <w:t>в торгах за вимогами пункту 47 Особливостей.</w:t>
      </w:r>
    </w:p>
    <w:p w14:paraId="47EBBF5F" w14:textId="5D35BB4B" w:rsidR="00F27E09" w:rsidRPr="00F27E09" w:rsidRDefault="00F27E09" w:rsidP="00D409D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F27E09">
        <w:rPr>
          <w:position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7E09">
        <w:rPr>
          <w:i/>
          <w:position w:val="0"/>
          <w:sz w:val="22"/>
          <w:szCs w:val="22"/>
          <w:lang w:val="uk-UA"/>
        </w:rPr>
        <w:t>(у разі застосування таких критеріїв до учасника процедури закупівлі)</w:t>
      </w:r>
      <w:r w:rsidRPr="00F27E09">
        <w:rPr>
          <w:position w:val="0"/>
          <w:sz w:val="22"/>
          <w:szCs w:val="22"/>
          <w:lang w:val="uk-UA"/>
        </w:rPr>
        <w:t xml:space="preserve">, </w:t>
      </w:r>
      <w:r>
        <w:rPr>
          <w:position w:val="0"/>
          <w:sz w:val="22"/>
          <w:szCs w:val="22"/>
          <w:lang w:val="uk-UA"/>
        </w:rPr>
        <w:t>З</w:t>
      </w:r>
      <w:r w:rsidRPr="00F27E09">
        <w:rPr>
          <w:position w:val="0"/>
          <w:sz w:val="22"/>
          <w:szCs w:val="22"/>
          <w:lang w:val="uk-UA"/>
        </w:rPr>
        <w:t>амовник перевіряє таких суб’єктів господарювання щодо відсутності підстав, визначених пунктом 47 Особливостей.</w:t>
      </w:r>
    </w:p>
    <w:p w14:paraId="7DC15369" w14:textId="61F0F189" w:rsidR="00B17C43"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736EFC51" w14:textId="77777777" w:rsidR="00416023" w:rsidRPr="00207F39" w:rsidRDefault="0041602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11DC471" w14:textId="2915341C" w:rsidR="00FD3FF4" w:rsidRPr="00565B7E" w:rsidRDefault="00DD2E5E" w:rsidP="00565B7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416023"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свою роботу, так 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lastRenderedPageBreak/>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lastRenderedPageBreak/>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00F76280" w:rsidRPr="00207F39">
              <w:rPr>
                <w:rFonts w:ascii="Times New Roman" w:hAnsi="Times New Roman"/>
                <w:b/>
                <w:position w:val="0"/>
                <w:sz w:val="22"/>
                <w:szCs w:val="22"/>
                <w:lang w:val="uk-UA"/>
              </w:rPr>
              <w:lastRenderedPageBreak/>
              <w:t xml:space="preserve">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416023"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lastRenderedPageBreak/>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416023"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416023"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xml:space="preserve">, яка є  учасником процедури закупівлі, </w:t>
            </w:r>
            <w:r w:rsidRPr="009044AE">
              <w:rPr>
                <w:bCs/>
                <w:i/>
                <w:iCs/>
                <w:position w:val="0"/>
                <w:sz w:val="22"/>
                <w:szCs w:val="22"/>
                <w:lang w:val="uk-UA"/>
              </w:rPr>
              <w:lastRenderedPageBreak/>
              <w:t>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416023"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416023"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33CF03DD" w14:textId="03D2B0AE"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44D0C36D" w14:textId="77777777" w:rsidR="00416023" w:rsidRDefault="00416023"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046C512A" w14:textId="38B4AC84"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69D4D1D0"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У разі якщо учасник або його кінцевий </w:t>
            </w:r>
            <w:proofErr w:type="spellStart"/>
            <w:r w:rsidRPr="003B10CB">
              <w:rPr>
                <w:bCs/>
                <w:position w:val="0"/>
                <w:sz w:val="22"/>
                <w:szCs w:val="22"/>
                <w:lang w:val="uk-UA"/>
              </w:rPr>
              <w:t>бенефіціарний</w:t>
            </w:r>
            <w:proofErr w:type="spellEnd"/>
            <w:r w:rsidRPr="003B10CB">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D6F02">
              <w:rPr>
                <w:bCs/>
                <w:position w:val="0"/>
                <w:sz w:val="22"/>
                <w:szCs w:val="22"/>
                <w:lang w:val="uk-UA"/>
              </w:rPr>
              <w:t xml:space="preserve"> </w:t>
            </w:r>
            <w:r w:rsidR="00FD6F02">
              <w:rPr>
                <w:lang w:val="uk-UA"/>
              </w:rPr>
              <w:t xml:space="preserve">/ </w:t>
            </w:r>
            <w:r w:rsidR="00FD6F02" w:rsidRPr="00FD6F02">
              <w:rPr>
                <w:bCs/>
                <w:position w:val="0"/>
                <w:sz w:val="22"/>
                <w:szCs w:val="22"/>
                <w:lang w:val="uk-UA"/>
              </w:rPr>
              <w:t>Ісламської Республіки Іран</w:t>
            </w:r>
            <w:r w:rsidRPr="003B10CB">
              <w:rPr>
                <w:bCs/>
                <w:position w:val="0"/>
                <w:sz w:val="22"/>
                <w:szCs w:val="22"/>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lastRenderedPageBreak/>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1D885ACB"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683E0AA0"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14:paraId="40CB84AB" w14:textId="0E0EC8E7"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0B091136" w14:textId="77777777"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14:paraId="4B51BD2D" w14:textId="0E3B1108"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14:paraId="2D7BF351" w14:textId="424E1E95"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14:paraId="69F79173" w14:textId="15681FFE"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14:paraId="5993E4C8" w14:textId="207C1BB6"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14:paraId="5805C856"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color w:val="000000"/>
                <w:position w:val="0"/>
                <w:sz w:val="22"/>
                <w:szCs w:val="22"/>
                <w:lang w:val="uk-UA"/>
              </w:rPr>
              <w:t xml:space="preserve"> </w:t>
            </w:r>
            <w:r w:rsidRPr="003B10CB">
              <w:rPr>
                <w:bCs/>
                <w:i/>
                <w:iCs/>
                <w:color w:val="000000"/>
                <w:position w:val="0"/>
                <w:sz w:val="22"/>
                <w:szCs w:val="22"/>
                <w:lang w:val="uk-UA"/>
              </w:rPr>
              <w:t>або</w:t>
            </w:r>
          </w:p>
          <w:p w14:paraId="694CFD3E" w14:textId="292E61C8"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3B10CB">
              <w:rPr>
                <w:color w:val="000000"/>
                <w:position w:val="0"/>
                <w:sz w:val="22"/>
                <w:szCs w:val="22"/>
                <w:lang w:val="uk-UA"/>
              </w:rPr>
              <w:t xml:space="preserve"> </w:t>
            </w:r>
          </w:p>
          <w:p w14:paraId="48AD2613" w14:textId="694A41B8"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416023" w14:paraId="336C11DF" w14:textId="77777777"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7513AF" w14:textId="77777777" w:rsidR="00EC5068"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B5C6A6F" w14:textId="770121A8" w:rsidR="008E1124"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tc>
      </w:tr>
      <w:tr w:rsidR="00EC5068" w:rsidRPr="00416023" w14:paraId="5E687DB9" w14:textId="77777777"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7D77E1" w14:textId="0380D88D" w:rsidR="00EC5068" w:rsidRPr="003B10CB" w:rsidRDefault="00EC5068" w:rsidP="00B17C43">
            <w:pPr>
              <w:spacing w:line="240" w:lineRule="auto"/>
              <w:ind w:left="0" w:hanging="2"/>
              <w:jc w:val="center"/>
              <w:rPr>
                <w:bCs/>
                <w:position w:val="0"/>
                <w:sz w:val="22"/>
                <w:szCs w:val="22"/>
                <w:lang w:val="uk-UA"/>
              </w:rPr>
            </w:pPr>
            <w:r>
              <w:rPr>
                <w:bCs/>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6C93A2" w14:textId="6B7543FC" w:rsidR="00EC5068" w:rsidRPr="003B10CB" w:rsidRDefault="00EC5068" w:rsidP="00EC5068">
            <w:pPr>
              <w:pStyle w:val="affa"/>
              <w:spacing w:before="0" w:after="0"/>
              <w:jc w:val="both"/>
              <w:rPr>
                <w:sz w:val="22"/>
                <w:szCs w:val="22"/>
              </w:rPr>
            </w:pPr>
            <w:r w:rsidRPr="003B10CB">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01BC8106" w:rsidR="00B97F4E" w:rsidRPr="003B10CB" w:rsidRDefault="00EC5068" w:rsidP="00B17C43">
            <w:pPr>
              <w:spacing w:line="240" w:lineRule="auto"/>
              <w:ind w:leftChars="0" w:left="2" w:hanging="2"/>
              <w:jc w:val="center"/>
              <w:rPr>
                <w:bCs/>
                <w:position w:val="0"/>
                <w:sz w:val="22"/>
                <w:szCs w:val="22"/>
                <w:lang w:val="uk-UA"/>
              </w:rPr>
            </w:pPr>
            <w:r>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416023" w:rsidRDefault="007011FF" w:rsidP="00B17C43">
            <w:pPr>
              <w:pStyle w:val="affa"/>
              <w:spacing w:before="0" w:beforeAutospacing="0" w:after="0" w:afterAutospacing="0"/>
              <w:jc w:val="both"/>
              <w:rPr>
                <w:i/>
                <w:iCs/>
                <w:sz w:val="22"/>
                <w:szCs w:val="22"/>
              </w:rPr>
            </w:pPr>
            <w:r w:rsidRPr="00416023">
              <w:rPr>
                <w:i/>
                <w:iCs/>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BA793C" w:rsidRPr="00416023" w14:paraId="4F33FBFF" w14:textId="77777777" w:rsidTr="00416023">
        <w:trPr>
          <w:trHeight w:val="792"/>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9144343" w14:textId="3F91FFA2" w:rsidR="00BA793C" w:rsidRPr="00BA793C" w:rsidRDefault="00BA793C" w:rsidP="00BA793C">
            <w:pPr>
              <w:spacing w:line="240" w:lineRule="auto"/>
              <w:ind w:leftChars="0" w:left="2" w:hanging="2"/>
              <w:jc w:val="center"/>
              <w:rPr>
                <w:bCs/>
                <w:position w:val="0"/>
                <w:sz w:val="22"/>
                <w:szCs w:val="22"/>
                <w:lang w:val="uk-UA"/>
              </w:rPr>
            </w:pPr>
            <w:r w:rsidRPr="00BA793C">
              <w:rPr>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9655328" w14:textId="4E70EF2D" w:rsidR="00BA793C" w:rsidRPr="003B10CB" w:rsidRDefault="00416023" w:rsidP="00BA793C">
            <w:pPr>
              <w:pStyle w:val="affa"/>
              <w:spacing w:before="0" w:beforeAutospacing="0" w:after="0" w:afterAutospacing="0"/>
              <w:jc w:val="both"/>
              <w:rPr>
                <w:sz w:val="22"/>
                <w:szCs w:val="22"/>
              </w:rPr>
            </w:pPr>
            <w:r>
              <w:rPr>
                <w:rFonts w:eastAsia="Calibri"/>
                <w:sz w:val="22"/>
                <w:szCs w:val="22"/>
                <w:lang w:eastAsia="ar-SA"/>
              </w:rPr>
              <w:t>Г</w:t>
            </w:r>
            <w:r w:rsidRPr="00416023">
              <w:rPr>
                <w:rFonts w:eastAsia="Calibri"/>
                <w:sz w:val="22"/>
                <w:szCs w:val="22"/>
                <w:lang w:eastAsia="ar-SA"/>
              </w:rPr>
              <w:t>арантійний лист у довільній формі, яким підтверджує</w:t>
            </w:r>
            <w:r>
              <w:rPr>
                <w:rFonts w:eastAsia="Calibri"/>
                <w:sz w:val="22"/>
                <w:szCs w:val="22"/>
                <w:lang w:eastAsia="ar-SA"/>
              </w:rPr>
              <w:t>ться</w:t>
            </w:r>
            <w:r w:rsidRPr="00416023">
              <w:rPr>
                <w:rFonts w:eastAsia="Calibri"/>
                <w:sz w:val="22"/>
                <w:szCs w:val="22"/>
                <w:lang w:eastAsia="ar-SA"/>
              </w:rPr>
              <w:t xml:space="preserve">, що учасник ознайомився з </w:t>
            </w:r>
            <w:proofErr w:type="spellStart"/>
            <w:r w:rsidRPr="00416023">
              <w:rPr>
                <w:rFonts w:eastAsia="Calibri"/>
                <w:sz w:val="22"/>
                <w:szCs w:val="22"/>
                <w:lang w:eastAsia="ar-SA"/>
              </w:rPr>
              <w:t>проєктом</w:t>
            </w:r>
            <w:proofErr w:type="spellEnd"/>
            <w:r w:rsidRPr="00416023">
              <w:rPr>
                <w:rFonts w:eastAsia="Calibri"/>
                <w:sz w:val="22"/>
                <w:szCs w:val="22"/>
                <w:lang w:eastAsia="ar-SA"/>
              </w:rPr>
              <w:t xml:space="preserve"> договору про закупівлю та порядком змін</w:t>
            </w:r>
            <w:bookmarkStart w:id="0" w:name="_GoBack"/>
            <w:bookmarkEnd w:id="0"/>
            <w:r w:rsidRPr="00416023">
              <w:rPr>
                <w:rFonts w:eastAsia="Calibri"/>
                <w:sz w:val="22"/>
                <w:szCs w:val="22"/>
                <w:lang w:eastAsia="ar-SA"/>
              </w:rPr>
              <w:t xml:space="preserve">и умов договору про закупівлю згідно </w:t>
            </w:r>
            <w:r w:rsidRPr="00416023">
              <w:rPr>
                <w:rFonts w:eastAsia="Calibri"/>
                <w:b/>
                <w:bCs/>
                <w:i/>
                <w:iCs/>
                <w:sz w:val="22"/>
                <w:szCs w:val="22"/>
                <w:lang w:eastAsia="ar-SA"/>
              </w:rPr>
              <w:t>Додатку 4 до Тендерної документації</w:t>
            </w:r>
            <w:r w:rsidRPr="00416023">
              <w:rPr>
                <w:rFonts w:eastAsia="Calibri"/>
                <w:sz w:val="22"/>
                <w:szCs w:val="22"/>
                <w:lang w:eastAsia="ar-SA"/>
              </w:rPr>
              <w:t>, та гарантує виконання своїх зобов’язання за ним.</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1AA32BB7" w:rsidR="0045645B" w:rsidRDefault="0045645B">
        <w:pPr>
          <w:pStyle w:val="ab"/>
          <w:ind w:left="0" w:hanging="2"/>
          <w:jc w:val="center"/>
        </w:pPr>
        <w:r>
          <w:fldChar w:fldCharType="begin"/>
        </w:r>
        <w:r>
          <w:instrText>PAGE   \* MERGEFORMAT</w:instrText>
        </w:r>
        <w:r>
          <w:fldChar w:fldCharType="separate"/>
        </w:r>
        <w:r w:rsidR="00F127AF" w:rsidRPr="00F127AF">
          <w:rPr>
            <w:noProof/>
            <w:lang w:val="ru-RU"/>
          </w:rPr>
          <w:t>1</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4D5ECC79"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48D72C40"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25DA93A4"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0"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2"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1"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30"/>
  </w:num>
  <w:num w:numId="6">
    <w:abstractNumId w:val="39"/>
  </w:num>
  <w:num w:numId="7">
    <w:abstractNumId w:val="22"/>
  </w:num>
  <w:num w:numId="8">
    <w:abstractNumId w:val="36"/>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3"/>
  </w:num>
  <w:num w:numId="24">
    <w:abstractNumId w:val="38"/>
  </w:num>
  <w:num w:numId="25">
    <w:abstractNumId w:val="7"/>
  </w:num>
  <w:num w:numId="26">
    <w:abstractNumId w:val="16"/>
  </w:num>
  <w:num w:numId="27">
    <w:abstractNumId w:val="4"/>
  </w:num>
  <w:num w:numId="28">
    <w:abstractNumId w:val="37"/>
  </w:num>
  <w:num w:numId="29">
    <w:abstractNumId w:val="34"/>
  </w:num>
  <w:num w:numId="30">
    <w:abstractNumId w:val="17"/>
  </w:num>
  <w:num w:numId="31">
    <w:abstractNumId w:val="9"/>
  </w:num>
  <w:num w:numId="32">
    <w:abstractNumId w:val="24"/>
  </w:num>
  <w:num w:numId="33">
    <w:abstractNumId w:val="41"/>
  </w:num>
  <w:num w:numId="34">
    <w:abstractNumId w:val="21"/>
  </w:num>
  <w:num w:numId="35">
    <w:abstractNumId w:val="5"/>
  </w:num>
  <w:num w:numId="36">
    <w:abstractNumId w:val="40"/>
  </w:num>
  <w:num w:numId="37">
    <w:abstractNumId w:val="14"/>
  </w:num>
  <w:num w:numId="38">
    <w:abstractNumId w:val="11"/>
  </w:num>
  <w:num w:numId="39">
    <w:abstractNumId w:val="35"/>
  </w:num>
  <w:num w:numId="40">
    <w:abstractNumId w:val="15"/>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6023"/>
    <w:rsid w:val="004170BD"/>
    <w:rsid w:val="004205FE"/>
    <w:rsid w:val="00422131"/>
    <w:rsid w:val="00433C88"/>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65B7E"/>
    <w:rsid w:val="00572019"/>
    <w:rsid w:val="00572931"/>
    <w:rsid w:val="00576148"/>
    <w:rsid w:val="0057676C"/>
    <w:rsid w:val="00586FD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27A7"/>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A793C"/>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9DE"/>
    <w:rsid w:val="00D40FE0"/>
    <w:rsid w:val="00D4445D"/>
    <w:rsid w:val="00D50BB4"/>
    <w:rsid w:val="00D54D13"/>
    <w:rsid w:val="00D57660"/>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C5068"/>
    <w:rsid w:val="00ED0B94"/>
    <w:rsid w:val="00ED4D66"/>
    <w:rsid w:val="00EF3551"/>
    <w:rsid w:val="00F028E0"/>
    <w:rsid w:val="00F0732B"/>
    <w:rsid w:val="00F127AF"/>
    <w:rsid w:val="00F13321"/>
    <w:rsid w:val="00F14E28"/>
    <w:rsid w:val="00F1520A"/>
    <w:rsid w:val="00F24321"/>
    <w:rsid w:val="00F27E09"/>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426D"/>
    <w:rsid w:val="00FC5CAC"/>
    <w:rsid w:val="00FD3FF4"/>
    <w:rsid w:val="00FD6F02"/>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B54E0C-35D6-4684-BEED-E47AE155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2720</Words>
  <Characters>15506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2023-08-30T08:44:00Z</cp:lastPrinted>
  <dcterms:created xsi:type="dcterms:W3CDTF">2024-02-23T09:27:00Z</dcterms:created>
  <dcterms:modified xsi:type="dcterms:W3CDTF">2024-04-05T08:09:00Z</dcterms:modified>
</cp:coreProperties>
</file>