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2" w:rsidRDefault="00290FA5">
      <w:pPr>
        <w:tabs>
          <w:tab w:val="left" w:pos="0"/>
          <w:tab w:val="center" w:pos="4153"/>
          <w:tab w:val="right" w:pos="8306"/>
        </w:tabs>
        <w:jc w:val="right"/>
        <w:rPr>
          <w:b/>
          <w:color w:val="000000"/>
        </w:rPr>
      </w:pPr>
      <w:r>
        <w:rPr>
          <w:b/>
          <w:color w:val="000000"/>
        </w:rPr>
        <w:t>Д</w:t>
      </w:r>
      <w:r w:rsidR="00FE4091">
        <w:rPr>
          <w:b/>
          <w:color w:val="000000"/>
        </w:rPr>
        <w:t>одаток</w:t>
      </w:r>
      <w:r>
        <w:rPr>
          <w:b/>
          <w:color w:val="000000"/>
        </w:rPr>
        <w:t xml:space="preserve"> №1</w:t>
      </w:r>
    </w:p>
    <w:p w:rsidR="00E970E6" w:rsidRPr="00E970E6" w:rsidRDefault="004453A3" w:rsidP="004453A3">
      <w:pPr>
        <w:jc w:val="right"/>
        <w:rPr>
          <w:sz w:val="16"/>
          <w:szCs w:val="16"/>
        </w:rPr>
      </w:pPr>
      <w:r w:rsidRPr="00E970E6">
        <w:rPr>
          <w:sz w:val="16"/>
          <w:szCs w:val="16"/>
        </w:rPr>
        <w:t>до тендерної документації</w:t>
      </w:r>
    </w:p>
    <w:p w:rsidR="00E970E6" w:rsidRPr="00E970E6" w:rsidRDefault="00E970E6" w:rsidP="00E970E6">
      <w:pPr>
        <w:ind w:left="567" w:right="-25"/>
        <w:jc w:val="right"/>
        <w:rPr>
          <w:sz w:val="16"/>
          <w:szCs w:val="16"/>
        </w:rPr>
      </w:pPr>
      <w:r w:rsidRPr="00E970E6">
        <w:rPr>
          <w:sz w:val="16"/>
          <w:szCs w:val="16"/>
        </w:rPr>
        <w:t xml:space="preserve">Улаштування критої парковки </w:t>
      </w:r>
    </w:p>
    <w:p w:rsidR="00E970E6" w:rsidRPr="00E970E6" w:rsidRDefault="00E970E6" w:rsidP="00E970E6">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E970E6" w:rsidRPr="00E970E6" w:rsidRDefault="00E970E6" w:rsidP="00E970E6">
      <w:pPr>
        <w:ind w:left="567" w:right="-25"/>
        <w:jc w:val="right"/>
        <w:rPr>
          <w:sz w:val="16"/>
          <w:szCs w:val="16"/>
        </w:rPr>
      </w:pPr>
      <w:r w:rsidRPr="00E970E6">
        <w:rPr>
          <w:sz w:val="16"/>
          <w:szCs w:val="16"/>
        </w:rPr>
        <w:t xml:space="preserve"> по вул.Білогородська, 2а </w:t>
      </w:r>
    </w:p>
    <w:p w:rsidR="00E970E6" w:rsidRPr="00E970E6" w:rsidRDefault="00E970E6" w:rsidP="00E970E6">
      <w:pPr>
        <w:ind w:left="567" w:right="-25"/>
        <w:jc w:val="right"/>
        <w:rPr>
          <w:sz w:val="16"/>
          <w:szCs w:val="16"/>
        </w:rPr>
      </w:pPr>
      <w:r w:rsidRPr="00E970E6">
        <w:rPr>
          <w:sz w:val="16"/>
          <w:szCs w:val="16"/>
        </w:rPr>
        <w:t xml:space="preserve">у с. Петропавлівська Борщагівка </w:t>
      </w:r>
    </w:p>
    <w:p w:rsidR="00E970E6" w:rsidRPr="00E970E6" w:rsidRDefault="00E970E6" w:rsidP="00E970E6">
      <w:pPr>
        <w:ind w:left="567" w:right="-25"/>
        <w:jc w:val="right"/>
        <w:rPr>
          <w:sz w:val="16"/>
          <w:szCs w:val="16"/>
        </w:rPr>
      </w:pPr>
      <w:r w:rsidRPr="00E970E6">
        <w:rPr>
          <w:sz w:val="16"/>
          <w:szCs w:val="16"/>
        </w:rPr>
        <w:t>Бучанського району</w:t>
      </w:r>
    </w:p>
    <w:p w:rsidR="00E970E6" w:rsidRPr="00E970E6" w:rsidRDefault="00E970E6" w:rsidP="00E970E6">
      <w:pPr>
        <w:ind w:left="567" w:right="-25"/>
        <w:jc w:val="right"/>
        <w:rPr>
          <w:sz w:val="16"/>
          <w:szCs w:val="16"/>
          <w:highlight w:val="yellow"/>
          <w:lang w:val="uk-UA"/>
        </w:rPr>
      </w:pPr>
      <w:r w:rsidRPr="00E970E6">
        <w:rPr>
          <w:sz w:val="16"/>
          <w:szCs w:val="16"/>
        </w:rPr>
        <w:t>Київської області (Реконструкція)</w:t>
      </w:r>
    </w:p>
    <w:p w:rsidR="00E970E6" w:rsidRDefault="00E970E6" w:rsidP="00E970E6">
      <w:pPr>
        <w:ind w:left="567" w:right="-25"/>
        <w:jc w:val="right"/>
        <w:rPr>
          <w:sz w:val="16"/>
          <w:szCs w:val="16"/>
          <w:lang w:val="uk-UA"/>
        </w:rPr>
      </w:pPr>
      <w:r w:rsidRPr="00E970E6">
        <w:rPr>
          <w:sz w:val="16"/>
          <w:szCs w:val="16"/>
          <w:lang w:val="uk-UA"/>
        </w:rPr>
        <w:t>ДК 021:2015: 45450000-6</w:t>
      </w:r>
    </w:p>
    <w:p w:rsidR="00E970E6" w:rsidRPr="00E970E6" w:rsidRDefault="00E970E6" w:rsidP="00E970E6">
      <w:pPr>
        <w:ind w:left="567" w:right="-25"/>
        <w:jc w:val="right"/>
        <w:rPr>
          <w:sz w:val="16"/>
          <w:szCs w:val="16"/>
          <w:lang w:val="uk-UA"/>
        </w:rPr>
      </w:pPr>
      <w:r w:rsidRPr="00E970E6">
        <w:rPr>
          <w:sz w:val="16"/>
          <w:szCs w:val="16"/>
          <w:lang w:val="uk-UA"/>
        </w:rPr>
        <w:t xml:space="preserve"> - Інші завершальні будівельні роботи</w:t>
      </w:r>
    </w:p>
    <w:p w:rsidR="004453A3" w:rsidRPr="00C97810" w:rsidRDefault="004453A3" w:rsidP="004453A3">
      <w:pPr>
        <w:jc w:val="right"/>
        <w:rPr>
          <w:b/>
          <w:lang w:val="uk-UA"/>
        </w:rPr>
      </w:pPr>
      <w:r w:rsidRPr="00C97810">
        <w:rPr>
          <w:b/>
          <w:lang w:val="uk-UA"/>
        </w:rPr>
        <w:t xml:space="preserve"> </w:t>
      </w:r>
    </w:p>
    <w:p w:rsidR="004453A3" w:rsidRPr="00C97810" w:rsidRDefault="004453A3">
      <w:pPr>
        <w:tabs>
          <w:tab w:val="left" w:pos="0"/>
          <w:tab w:val="center" w:pos="4153"/>
          <w:tab w:val="right" w:pos="8306"/>
        </w:tabs>
        <w:jc w:val="right"/>
        <w:rPr>
          <w:b/>
          <w:color w:val="000000"/>
          <w:lang w:val="uk-UA"/>
        </w:rPr>
      </w:pPr>
    </w:p>
    <w:p w:rsidR="00DC5FFD" w:rsidRDefault="00DC5FFD" w:rsidP="00540190">
      <w:pPr>
        <w:widowControl w:val="0"/>
        <w:pBdr>
          <w:top w:val="nil"/>
          <w:left w:val="nil"/>
          <w:bottom w:val="nil"/>
          <w:right w:val="nil"/>
          <w:between w:val="nil"/>
        </w:pBdr>
        <w:spacing w:before="120"/>
        <w:ind w:firstLine="567"/>
        <w:jc w:val="both"/>
        <w:rPr>
          <w:b/>
          <w:color w:val="000000"/>
          <w:highlight w:val="cyan"/>
          <w:lang w:val="uk-UA" w:eastAsia="en-US"/>
        </w:rPr>
      </w:pPr>
      <w:r w:rsidRPr="00DC5FFD">
        <w:rPr>
          <w:b/>
          <w:color w:val="000000"/>
          <w:lang w:val="uk-UA" w:eastAsia="en-US"/>
        </w:rPr>
        <w:t>Інформація щодо відсутності підстав, установлених в пункті 47 Особливостей</w:t>
      </w:r>
      <w:r w:rsidRPr="00DC5FFD">
        <w:rPr>
          <w:b/>
          <w:color w:val="000000"/>
          <w:highlight w:val="cyan"/>
          <w:lang w:val="uk-UA" w:eastAsia="en-US"/>
        </w:rPr>
        <w:t xml:space="preserve"> </w:t>
      </w:r>
    </w:p>
    <w:p w:rsidR="00540190" w:rsidRPr="00540190" w:rsidRDefault="00540190" w:rsidP="00540190">
      <w:pPr>
        <w:widowControl w:val="0"/>
        <w:pBdr>
          <w:top w:val="nil"/>
          <w:left w:val="nil"/>
          <w:bottom w:val="nil"/>
          <w:right w:val="nil"/>
          <w:between w:val="nil"/>
        </w:pBdr>
        <w:spacing w:before="120"/>
        <w:ind w:firstLine="567"/>
        <w:jc w:val="both"/>
        <w:rPr>
          <w:color w:val="000000"/>
          <w:sz w:val="20"/>
          <w:szCs w:val="20"/>
          <w:lang w:val="uk-UA" w:eastAsia="en-US"/>
        </w:rPr>
      </w:pPr>
      <w:r w:rsidRPr="00FB13BF">
        <w:rPr>
          <w:b/>
          <w:i/>
          <w:color w:val="000000"/>
          <w:sz w:val="20"/>
          <w:szCs w:val="20"/>
          <w:lang w:val="uk-UA" w:eastAsia="en-US"/>
        </w:rPr>
        <w:t>Переможець</w:t>
      </w:r>
      <w:r w:rsidRPr="00FB13BF">
        <w:rPr>
          <w:i/>
          <w:color w:val="000000"/>
          <w:sz w:val="20"/>
          <w:szCs w:val="20"/>
          <w:lang w:val="uk-UA" w:eastAsia="en-US"/>
        </w:rPr>
        <w:t xml:space="preserve"> процедури закупівлі у строк, що не перевищує </w:t>
      </w:r>
      <w:r w:rsidRPr="00FB13BF">
        <w:rPr>
          <w:b/>
          <w:i/>
          <w:color w:val="000000"/>
          <w:sz w:val="20"/>
          <w:szCs w:val="20"/>
          <w:lang w:val="uk-UA" w:eastAsia="en-US"/>
        </w:rPr>
        <w:t>чотири дні</w:t>
      </w:r>
      <w:r w:rsidRPr="00FB13BF">
        <w:rPr>
          <w:i/>
          <w:color w:val="000000"/>
          <w:sz w:val="20"/>
          <w:szCs w:val="20"/>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і в абзаці чотирнадцятому  </w:t>
      </w:r>
      <w:r w:rsidRPr="00FB13BF">
        <w:rPr>
          <w:b/>
          <w:i/>
          <w:color w:val="000000"/>
          <w:sz w:val="20"/>
          <w:szCs w:val="20"/>
          <w:lang w:val="uk-UA" w:eastAsia="en-US"/>
        </w:rPr>
        <w:t xml:space="preserve">пункту 47 Особливостей </w:t>
      </w:r>
      <w:r w:rsidRPr="00FB13BF">
        <w:rPr>
          <w:i/>
          <w:color w:val="000000"/>
          <w:sz w:val="20"/>
          <w:szCs w:val="20"/>
          <w:lang w:val="uk-UA" w:eastAsia="en-US"/>
        </w:rPr>
        <w:t>та документи згідно вимог тендерної документації, а саме:</w:t>
      </w:r>
      <w:r w:rsidRPr="00540190">
        <w:rPr>
          <w:i/>
          <w:color w:val="000000"/>
          <w:sz w:val="20"/>
          <w:szCs w:val="20"/>
          <w:lang w:val="uk-UA" w:eastAsia="en-US"/>
        </w:rPr>
        <w:t xml:space="preserve"> </w:t>
      </w:r>
    </w:p>
    <w:p w:rsidR="00540190" w:rsidRPr="00540190" w:rsidRDefault="00540190">
      <w:pPr>
        <w:jc w:val="center"/>
        <w:rPr>
          <w:b/>
          <w:lang w:val="uk-UA"/>
        </w:rPr>
      </w:pPr>
    </w:p>
    <w:p w:rsidR="00EF2CD2" w:rsidRDefault="00290FA5">
      <w:pPr>
        <w:jc w:val="center"/>
        <w:rPr>
          <w:b/>
          <w:u w:val="single"/>
        </w:rPr>
      </w:pPr>
      <w:r>
        <w:rPr>
          <w:b/>
          <w:u w:val="single"/>
        </w:rPr>
        <w:t>1.</w:t>
      </w:r>
      <w:r w:rsidR="00524430">
        <w:rPr>
          <w:b/>
          <w:u w:val="single"/>
          <w:lang w:val="uk-UA"/>
        </w:rPr>
        <w:t>1</w:t>
      </w:r>
      <w:r>
        <w:rPr>
          <w:b/>
          <w:u w:val="single"/>
        </w:rPr>
        <w:t>. Документи, які надаються  ПЕРЕМОЖЦЕМ (юридичною особою):</w:t>
      </w:r>
    </w:p>
    <w:p w:rsidR="00EF2CD2" w:rsidRDefault="00EF2CD2">
      <w:pPr>
        <w:jc w:val="center"/>
        <w:rPr>
          <w:b/>
        </w:rPr>
      </w:pPr>
    </w:p>
    <w:tbl>
      <w:tblPr>
        <w:tblStyle w:val="10"/>
        <w:tblW w:w="10013" w:type="dxa"/>
        <w:tblInd w:w="-100" w:type="dxa"/>
        <w:tblLayout w:type="fixed"/>
        <w:tblLook w:val="0400" w:firstRow="0" w:lastRow="0" w:firstColumn="0" w:lastColumn="0" w:noHBand="0" w:noVBand="1"/>
      </w:tblPr>
      <w:tblGrid>
        <w:gridCol w:w="767"/>
        <w:gridCol w:w="4349"/>
        <w:gridCol w:w="4897"/>
      </w:tblGrid>
      <w:tr w:rsidR="00EF2CD2">
        <w:trPr>
          <w:trHeight w:val="1005"/>
        </w:trPr>
        <w:tc>
          <w:tcPr>
            <w:tcW w:w="767" w:type="dxa"/>
            <w:tcBorders>
              <w:top w:val="single" w:sz="8" w:space="0" w:color="000000"/>
              <w:left w:val="single" w:sz="8" w:space="0" w:color="000000"/>
              <w:bottom w:val="single" w:sz="8" w:space="0" w:color="000000"/>
              <w:right w:val="single" w:sz="8" w:space="0" w:color="000000"/>
            </w:tcBorders>
          </w:tcPr>
          <w:p w:rsidR="00EF2CD2" w:rsidRDefault="00290FA5">
            <w:pPr>
              <w:widowControl w:val="0"/>
              <w:jc w:val="center"/>
            </w:pPr>
            <w:r>
              <w:rPr>
                <w:b/>
              </w:rPr>
              <w:t>№</w:t>
            </w:r>
          </w:p>
          <w:p w:rsidR="00EF2CD2" w:rsidRDefault="00290FA5">
            <w:pPr>
              <w:widowControl w:val="0"/>
              <w:jc w:val="center"/>
            </w:pPr>
            <w:r>
              <w:rPr>
                <w:b/>
              </w:rPr>
              <w:t>з/п</w:t>
            </w:r>
          </w:p>
        </w:tc>
        <w:tc>
          <w:tcPr>
            <w:tcW w:w="4349" w:type="dxa"/>
            <w:tcBorders>
              <w:top w:val="single" w:sz="8" w:space="0" w:color="000000"/>
              <w:left w:val="single" w:sz="8" w:space="0" w:color="000000"/>
              <w:bottom w:val="single" w:sz="8" w:space="0" w:color="000000"/>
              <w:right w:val="single" w:sz="8" w:space="0" w:color="000000"/>
            </w:tcBorders>
          </w:tcPr>
          <w:p w:rsidR="00EF2CD2" w:rsidRPr="00287A06" w:rsidRDefault="00290FA5">
            <w:pPr>
              <w:widowControl w:val="0"/>
              <w:jc w:val="center"/>
              <w:rPr>
                <w:b/>
              </w:rPr>
            </w:pPr>
            <w:r w:rsidRPr="00287A06">
              <w:rPr>
                <w:b/>
              </w:rPr>
              <w:t xml:space="preserve">Вимоги згідно </w:t>
            </w:r>
          </w:p>
          <w:p w:rsidR="00EF2CD2" w:rsidRPr="00287A06" w:rsidRDefault="00290FA5">
            <w:pPr>
              <w:widowControl w:val="0"/>
              <w:jc w:val="center"/>
              <w:rPr>
                <w:b/>
              </w:rPr>
            </w:pPr>
            <w:r w:rsidRPr="00287A06">
              <w:rPr>
                <w:b/>
              </w:rPr>
              <w:t>пункту 4</w:t>
            </w:r>
            <w:r w:rsidR="00372875" w:rsidRPr="00287A06">
              <w:rPr>
                <w:b/>
                <w:lang w:val="uk-UA"/>
              </w:rPr>
              <w:t>7</w:t>
            </w:r>
            <w:r w:rsidRPr="00287A06">
              <w:rPr>
                <w:b/>
              </w:rPr>
              <w:t xml:space="preserve"> Особливостей</w:t>
            </w:r>
          </w:p>
          <w:p w:rsidR="00EF2CD2" w:rsidRPr="00287A06" w:rsidRDefault="00EF2CD2">
            <w:pPr>
              <w:widowControl w:val="0"/>
              <w:jc w:val="center"/>
            </w:pPr>
          </w:p>
        </w:tc>
        <w:tc>
          <w:tcPr>
            <w:tcW w:w="4897" w:type="dxa"/>
            <w:tcBorders>
              <w:top w:val="single" w:sz="8" w:space="0" w:color="000000"/>
              <w:left w:val="single" w:sz="8" w:space="0" w:color="000000"/>
              <w:bottom w:val="single" w:sz="8" w:space="0" w:color="000000"/>
              <w:right w:val="single" w:sz="8" w:space="0" w:color="000000"/>
            </w:tcBorders>
          </w:tcPr>
          <w:p w:rsidR="00EF2CD2" w:rsidRPr="00287A06" w:rsidRDefault="00290FA5" w:rsidP="00372875">
            <w:pPr>
              <w:widowControl w:val="0"/>
              <w:jc w:val="center"/>
            </w:pPr>
            <w:r w:rsidRPr="00287A06">
              <w:rPr>
                <w:b/>
              </w:rPr>
              <w:t>Переможець торгів на виконання вимог пункту 4</w:t>
            </w:r>
            <w:r w:rsidR="00372875" w:rsidRPr="00287A06">
              <w:rPr>
                <w:b/>
                <w:lang w:val="uk-UA"/>
              </w:rPr>
              <w:t>7</w:t>
            </w:r>
            <w:r w:rsidRPr="00287A06">
              <w:rPr>
                <w:b/>
              </w:rPr>
              <w:t xml:space="preserve"> Особливостей (підтвердження відсутності підстав) повинен надати таку інформацію:</w:t>
            </w:r>
          </w:p>
        </w:tc>
      </w:tr>
      <w:tr w:rsidR="00EF2CD2">
        <w:trPr>
          <w:trHeight w:val="235"/>
        </w:trPr>
        <w:tc>
          <w:tcPr>
            <w:tcW w:w="767" w:type="dxa"/>
            <w:tcBorders>
              <w:top w:val="single" w:sz="8" w:space="0" w:color="000000"/>
              <w:left w:val="single" w:sz="8" w:space="0" w:color="000000"/>
              <w:bottom w:val="single" w:sz="8" w:space="0" w:color="000000"/>
              <w:right w:val="single" w:sz="8" w:space="0" w:color="000000"/>
            </w:tcBorders>
          </w:tcPr>
          <w:p w:rsidR="00EF2CD2" w:rsidRDefault="00290FA5">
            <w:pPr>
              <w:widowControl w:val="0"/>
              <w:jc w:val="center"/>
            </w:pPr>
            <w:r>
              <w:rPr>
                <w:b/>
              </w:rPr>
              <w:t>1</w:t>
            </w:r>
          </w:p>
        </w:tc>
        <w:tc>
          <w:tcPr>
            <w:tcW w:w="4349" w:type="dxa"/>
            <w:tcBorders>
              <w:top w:val="single" w:sz="8" w:space="0" w:color="000000"/>
              <w:left w:val="single" w:sz="8" w:space="0" w:color="000000"/>
              <w:bottom w:val="single" w:sz="8" w:space="0" w:color="000000"/>
              <w:right w:val="single" w:sz="8" w:space="0" w:color="000000"/>
            </w:tcBorders>
          </w:tcPr>
          <w:p w:rsidR="00EF2CD2" w:rsidRPr="00287A06" w:rsidRDefault="00290FA5">
            <w:pPr>
              <w:widowControl w:val="0"/>
              <w:spacing w:before="120"/>
              <w:jc w:val="both"/>
            </w:pPr>
            <w:r w:rsidRPr="00287A06">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2CD2" w:rsidRPr="00287A06" w:rsidRDefault="00290FA5" w:rsidP="00372875">
            <w:pPr>
              <w:widowControl w:val="0"/>
              <w:jc w:val="both"/>
              <w:rPr>
                <w:b/>
              </w:rPr>
            </w:pPr>
            <w:r w:rsidRPr="00287A06">
              <w:rPr>
                <w:b/>
              </w:rPr>
              <w:t>(підпункт 3 пункт</w:t>
            </w:r>
            <w:r w:rsidR="00372875" w:rsidRPr="00287A06">
              <w:rPr>
                <w:b/>
                <w:lang w:val="uk-UA"/>
              </w:rPr>
              <w:t>у</w:t>
            </w:r>
            <w:r w:rsidRPr="00287A06">
              <w:rPr>
                <w:b/>
              </w:rPr>
              <w:t xml:space="preserve"> 4</w:t>
            </w:r>
            <w:r w:rsidR="00372875" w:rsidRPr="00287A06">
              <w:rPr>
                <w:b/>
                <w:lang w:val="uk-UA"/>
              </w:rPr>
              <w:t>7</w:t>
            </w:r>
            <w:r w:rsidRPr="00287A06">
              <w:rPr>
                <w:b/>
              </w:rPr>
              <w:t xml:space="preserve"> Особливостей)</w:t>
            </w:r>
          </w:p>
        </w:tc>
        <w:tc>
          <w:tcPr>
            <w:tcW w:w="4897" w:type="dxa"/>
            <w:tcBorders>
              <w:top w:val="single" w:sz="8" w:space="0" w:color="000000"/>
              <w:left w:val="single" w:sz="8" w:space="0" w:color="000000"/>
              <w:bottom w:val="single" w:sz="8" w:space="0" w:color="000000"/>
              <w:right w:val="single" w:sz="8" w:space="0" w:color="000000"/>
            </w:tcBorders>
          </w:tcPr>
          <w:p w:rsidR="00EF2CD2" w:rsidRPr="00287A06" w:rsidRDefault="00290FA5">
            <w:pPr>
              <w:widowControl w:val="0"/>
              <w:ind w:firstLine="372"/>
              <w:jc w:val="both"/>
            </w:pPr>
            <w:r w:rsidRPr="00287A06">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EF2CD2" w:rsidRDefault="00290FA5">
            <w:pPr>
              <w:widowControl w:val="0"/>
              <w:ind w:firstLine="372"/>
              <w:jc w:val="both"/>
            </w:pPr>
            <w:r w:rsidRPr="00287A06">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00828" w:rsidRPr="00400828" w:rsidRDefault="00400828" w:rsidP="00400828">
            <w:pPr>
              <w:widowControl w:val="0"/>
              <w:ind w:firstLine="372"/>
              <w:jc w:val="both"/>
              <w:rPr>
                <w:color w:val="FF0000"/>
              </w:rPr>
            </w:pPr>
            <w:r w:rsidRPr="00400828">
              <w:t xml:space="preserve">  </w:t>
            </w:r>
            <w:r w:rsidRPr="00364783">
              <w:t>видан</w:t>
            </w:r>
            <w:r w:rsidRPr="00364783">
              <w:rPr>
                <w:lang w:val="uk-UA"/>
              </w:rPr>
              <w:t>а</w:t>
            </w:r>
            <w:r w:rsidRPr="00364783">
              <w:t xml:space="preserve"> не раніше ніж за 30 календарних днів до дати подання</w:t>
            </w:r>
          </w:p>
        </w:tc>
      </w:tr>
      <w:tr w:rsidR="00267AA9" w:rsidTr="00B05DFF">
        <w:trPr>
          <w:trHeight w:val="5244"/>
        </w:trPr>
        <w:tc>
          <w:tcPr>
            <w:tcW w:w="767" w:type="dxa"/>
            <w:tcBorders>
              <w:top w:val="single" w:sz="8" w:space="0" w:color="000000"/>
              <w:left w:val="single" w:sz="8" w:space="0" w:color="000000"/>
              <w:right w:val="single" w:sz="8" w:space="0" w:color="000000"/>
            </w:tcBorders>
          </w:tcPr>
          <w:p w:rsidR="00267AA9" w:rsidRDefault="00267AA9">
            <w:pPr>
              <w:widowControl w:val="0"/>
              <w:jc w:val="center"/>
            </w:pPr>
            <w:r>
              <w:rPr>
                <w:b/>
              </w:rPr>
              <w:lastRenderedPageBreak/>
              <w:t>2</w:t>
            </w:r>
          </w:p>
        </w:tc>
        <w:tc>
          <w:tcPr>
            <w:tcW w:w="4349" w:type="dxa"/>
            <w:tcBorders>
              <w:top w:val="single" w:sz="8" w:space="0" w:color="000000"/>
              <w:left w:val="single" w:sz="8" w:space="0" w:color="000000"/>
              <w:right w:val="single" w:sz="8" w:space="0" w:color="000000"/>
            </w:tcBorders>
          </w:tcPr>
          <w:p w:rsidR="00267AA9" w:rsidRPr="00287A06" w:rsidRDefault="00267AA9">
            <w:pPr>
              <w:widowControl w:val="0"/>
              <w:spacing w:before="120"/>
              <w:jc w:val="both"/>
            </w:pPr>
            <w:r w:rsidRPr="00287A06">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7AA9" w:rsidRPr="00287A06" w:rsidRDefault="00267AA9">
            <w:pPr>
              <w:widowControl w:val="0"/>
              <w:jc w:val="both"/>
              <w:rPr>
                <w:b/>
              </w:rPr>
            </w:pPr>
            <w:r w:rsidRPr="00287A06">
              <w:rPr>
                <w:b/>
              </w:rPr>
              <w:t>(підпункт 6 пункт</w:t>
            </w:r>
            <w:r w:rsidRPr="00287A06">
              <w:rPr>
                <w:b/>
                <w:lang w:val="uk-UA"/>
              </w:rPr>
              <w:t>у</w:t>
            </w:r>
            <w:r w:rsidRPr="00287A06">
              <w:rPr>
                <w:b/>
              </w:rPr>
              <w:t xml:space="preserve"> 4</w:t>
            </w:r>
            <w:r w:rsidRPr="00287A06">
              <w:rPr>
                <w:b/>
                <w:lang w:val="uk-UA"/>
              </w:rPr>
              <w:t>7</w:t>
            </w:r>
            <w:r w:rsidRPr="00287A06">
              <w:rPr>
                <w:b/>
              </w:rPr>
              <w:t xml:space="preserve"> Особливостей)</w:t>
            </w:r>
          </w:p>
          <w:p w:rsidR="00267AA9" w:rsidRPr="00287A06" w:rsidRDefault="00267AA9">
            <w:pPr>
              <w:widowControl w:val="0"/>
              <w:jc w:val="both"/>
              <w:rPr>
                <w:b/>
              </w:rPr>
            </w:pPr>
          </w:p>
        </w:tc>
        <w:tc>
          <w:tcPr>
            <w:tcW w:w="4897" w:type="dxa"/>
            <w:tcBorders>
              <w:top w:val="single" w:sz="8" w:space="0" w:color="000000"/>
              <w:left w:val="single" w:sz="8" w:space="0" w:color="000000"/>
              <w:right w:val="single" w:sz="8" w:space="0" w:color="000000"/>
            </w:tcBorders>
          </w:tcPr>
          <w:p w:rsidR="00267AA9" w:rsidRDefault="00267AA9" w:rsidP="00372875">
            <w:pPr>
              <w:widowControl w:val="0"/>
              <w:ind w:firstLine="372"/>
              <w:jc w:val="both"/>
              <w:rPr>
                <w:shd w:val="clear" w:color="auto" w:fill="FFFFFF"/>
              </w:rPr>
            </w:pPr>
            <w:r w:rsidRPr="00287A06">
              <w:rPr>
                <w:lang w:val="uk-UA"/>
              </w:rPr>
              <w:t>Д</w:t>
            </w:r>
            <w:r w:rsidRPr="00287A06">
              <w:t>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w:t>
            </w:r>
            <w:r w:rsidRPr="00287A06">
              <w:rPr>
                <w:shd w:val="clear" w:color="auto" w:fill="FFFFFF"/>
              </w:rPr>
              <w:t xml:space="preserve"> та наявності судимості» відповідно до </w:t>
            </w:r>
            <w:hyperlink r:id="rId8" w:tgtFrame="_blank" w:history="1">
              <w:r w:rsidRPr="00287A06">
                <w:rPr>
                  <w:shd w:val="clear" w:color="auto" w:fill="FFFFFF"/>
                </w:rPr>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287A06">
              <w:rPr>
                <w:shd w:val="clear" w:color="auto" w:fill="FFFFFF"/>
              </w:rPr>
              <w:t>, який містить актуальні на дату його подання замовнику відомості про відсутність у керівника учасника процедури закупівлі судимості або обмежень, передбачених кримінальним процесуальним законодавством України</w:t>
            </w:r>
          </w:p>
          <w:p w:rsidR="00400828" w:rsidRPr="00287A06" w:rsidRDefault="00400828" w:rsidP="00400828">
            <w:pPr>
              <w:widowControl w:val="0"/>
              <w:ind w:firstLine="372"/>
              <w:rPr>
                <w:shd w:val="clear" w:color="auto" w:fill="FFFFFF"/>
              </w:rPr>
            </w:pPr>
            <w:r w:rsidRPr="00364783">
              <w:t>виданий не раніше ніж за 30 календарних днів до дати подання</w:t>
            </w:r>
          </w:p>
        </w:tc>
      </w:tr>
      <w:tr w:rsidR="00372875">
        <w:trPr>
          <w:trHeight w:val="2535"/>
        </w:trPr>
        <w:tc>
          <w:tcPr>
            <w:tcW w:w="767" w:type="dxa"/>
            <w:tcBorders>
              <w:top w:val="single" w:sz="8" w:space="0" w:color="000000"/>
              <w:left w:val="single" w:sz="8" w:space="0" w:color="000000"/>
              <w:bottom w:val="single" w:sz="8" w:space="0" w:color="000000"/>
              <w:right w:val="single" w:sz="8" w:space="0" w:color="000000"/>
            </w:tcBorders>
          </w:tcPr>
          <w:p w:rsidR="00372875" w:rsidRPr="00372875" w:rsidRDefault="00372875">
            <w:pPr>
              <w:widowControl w:val="0"/>
              <w:jc w:val="center"/>
              <w:rPr>
                <w:b/>
                <w:lang w:val="uk-UA"/>
              </w:rPr>
            </w:pPr>
            <w:r>
              <w:rPr>
                <w:b/>
                <w:lang w:val="uk-UA"/>
              </w:rPr>
              <w:t>3</w:t>
            </w:r>
          </w:p>
        </w:tc>
        <w:tc>
          <w:tcPr>
            <w:tcW w:w="4349" w:type="dxa"/>
            <w:tcBorders>
              <w:top w:val="single" w:sz="8" w:space="0" w:color="000000"/>
              <w:left w:val="single" w:sz="8" w:space="0" w:color="000000"/>
              <w:bottom w:val="single" w:sz="8" w:space="0" w:color="000000"/>
              <w:right w:val="single" w:sz="8" w:space="0" w:color="000000"/>
            </w:tcBorders>
          </w:tcPr>
          <w:p w:rsidR="00372875" w:rsidRPr="00287A06" w:rsidRDefault="00372875" w:rsidP="00372875">
            <w:pPr>
              <w:widowControl w:val="0"/>
              <w:spacing w:before="120"/>
              <w:jc w:val="both"/>
              <w:rPr>
                <w:lang w:val="uk-UA"/>
              </w:rPr>
            </w:pPr>
            <w:r w:rsidRPr="00287A06">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875" w:rsidRPr="00287A06" w:rsidRDefault="00372875" w:rsidP="00372875">
            <w:pPr>
              <w:widowControl w:val="0"/>
              <w:spacing w:before="120"/>
              <w:jc w:val="both"/>
            </w:pPr>
            <w:r w:rsidRPr="00287A06">
              <w:rPr>
                <w:b/>
              </w:rPr>
              <w:t>(підпункт 12 пункт</w:t>
            </w:r>
            <w:r w:rsidRPr="00287A06">
              <w:rPr>
                <w:b/>
                <w:lang w:val="uk-UA"/>
              </w:rPr>
              <w:t>у 47</w:t>
            </w:r>
            <w:r w:rsidRPr="00287A06">
              <w:rPr>
                <w:b/>
              </w:rPr>
              <w:t xml:space="preserve"> Особливостей)</w:t>
            </w:r>
          </w:p>
        </w:tc>
        <w:tc>
          <w:tcPr>
            <w:tcW w:w="4897" w:type="dxa"/>
            <w:tcBorders>
              <w:top w:val="single" w:sz="8" w:space="0" w:color="000000"/>
              <w:left w:val="single" w:sz="8" w:space="0" w:color="000000"/>
              <w:right w:val="single" w:sz="8" w:space="0" w:color="000000"/>
            </w:tcBorders>
          </w:tcPr>
          <w:p w:rsidR="00372875" w:rsidRDefault="00372875" w:rsidP="00372875">
            <w:pPr>
              <w:widowControl w:val="0"/>
              <w:pBdr>
                <w:top w:val="nil"/>
                <w:left w:val="nil"/>
                <w:bottom w:val="nil"/>
                <w:right w:val="nil"/>
                <w:between w:val="nil"/>
              </w:pBdr>
              <w:spacing w:line="276" w:lineRule="auto"/>
              <w:jc w:val="both"/>
            </w:pPr>
            <w:r w:rsidRPr="00287A06">
              <w:rPr>
                <w:shd w:val="clear" w:color="auto" w:fill="FFFFFF"/>
                <w:lang w:val="uk-UA"/>
              </w:rPr>
              <w:t>Д</w:t>
            </w:r>
            <w:r w:rsidRPr="00287A06">
              <w:rPr>
                <w:shd w:val="clear" w:color="auto" w:fill="FFFFFF"/>
              </w:rPr>
              <w:t xml:space="preserve">овідка, складена в довільній формі, яка підтверджує про те, що </w:t>
            </w:r>
            <w:r w:rsidRPr="00287A06">
              <w:t>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0828" w:rsidRPr="00287A06" w:rsidRDefault="00400828" w:rsidP="00883433">
            <w:pPr>
              <w:widowControl w:val="0"/>
              <w:pBdr>
                <w:top w:val="nil"/>
                <w:left w:val="nil"/>
                <w:bottom w:val="nil"/>
                <w:right w:val="nil"/>
                <w:between w:val="nil"/>
              </w:pBdr>
              <w:spacing w:line="276" w:lineRule="auto"/>
              <w:jc w:val="both"/>
              <w:rPr>
                <w:b/>
              </w:rPr>
            </w:pPr>
            <w:r w:rsidRPr="00364783">
              <w:t>видан</w:t>
            </w:r>
            <w:r w:rsidR="00883433" w:rsidRPr="00364783">
              <w:rPr>
                <w:lang w:val="uk-UA"/>
              </w:rPr>
              <w:t>а</w:t>
            </w:r>
            <w:r w:rsidRPr="00364783">
              <w:t xml:space="preserve"> не раніше ніж за 30 календарних днів до дати подання</w:t>
            </w:r>
          </w:p>
        </w:tc>
      </w:tr>
      <w:tr w:rsidR="00EF2CD2">
        <w:trPr>
          <w:trHeight w:val="862"/>
        </w:trPr>
        <w:tc>
          <w:tcPr>
            <w:tcW w:w="767" w:type="dxa"/>
            <w:tcBorders>
              <w:top w:val="single" w:sz="8" w:space="0" w:color="000000"/>
              <w:left w:val="single" w:sz="8" w:space="0" w:color="000000"/>
              <w:bottom w:val="single" w:sz="8" w:space="0" w:color="000000"/>
              <w:right w:val="single" w:sz="8" w:space="0" w:color="000000"/>
            </w:tcBorders>
          </w:tcPr>
          <w:p w:rsidR="00EF2CD2" w:rsidRDefault="00290FA5">
            <w:pPr>
              <w:widowControl w:val="0"/>
              <w:jc w:val="center"/>
              <w:rPr>
                <w:b/>
              </w:rPr>
            </w:pPr>
            <w:r>
              <w:rPr>
                <w:b/>
              </w:rPr>
              <w:t>4</w:t>
            </w:r>
          </w:p>
        </w:tc>
        <w:tc>
          <w:tcPr>
            <w:tcW w:w="4349" w:type="dxa"/>
            <w:tcBorders>
              <w:top w:val="single" w:sz="8" w:space="0" w:color="000000"/>
              <w:left w:val="single" w:sz="8" w:space="0" w:color="000000"/>
              <w:bottom w:val="single" w:sz="8" w:space="0" w:color="000000"/>
              <w:right w:val="single" w:sz="8" w:space="0" w:color="000000"/>
            </w:tcBorders>
          </w:tcPr>
          <w:p w:rsidR="00EF2CD2" w:rsidRDefault="00290FA5">
            <w:pPr>
              <w:widowControl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2CD2" w:rsidRDefault="00290FA5">
            <w:pPr>
              <w:widowControl w:val="0"/>
              <w:jc w:val="both"/>
              <w:rPr>
                <w:b/>
              </w:rPr>
            </w:pPr>
            <w:r>
              <w:rPr>
                <w:b/>
              </w:rPr>
              <w:t xml:space="preserve">(абзац </w:t>
            </w:r>
            <w:r w:rsidRPr="00287A06">
              <w:rPr>
                <w:b/>
              </w:rPr>
              <w:t>14 пункт</w:t>
            </w:r>
            <w:r w:rsidR="00372875" w:rsidRPr="00287A06">
              <w:rPr>
                <w:b/>
                <w:lang w:val="uk-UA"/>
              </w:rPr>
              <w:t>у</w:t>
            </w:r>
            <w:r w:rsidRPr="00287A06">
              <w:rPr>
                <w:b/>
              </w:rPr>
              <w:t xml:space="preserve"> 4</w:t>
            </w:r>
            <w:r w:rsidR="00372875" w:rsidRPr="00287A06">
              <w:rPr>
                <w:b/>
                <w:lang w:val="uk-UA"/>
              </w:rPr>
              <w:t>7</w:t>
            </w:r>
            <w:r w:rsidRPr="00287A06">
              <w:rPr>
                <w:b/>
              </w:rPr>
              <w:t xml:space="preserve"> Особливостей</w:t>
            </w:r>
            <w:r>
              <w:rPr>
                <w:b/>
              </w:rPr>
              <w:t>)</w:t>
            </w:r>
          </w:p>
          <w:p w:rsidR="00EF2CD2" w:rsidRDefault="00EF2CD2">
            <w:pPr>
              <w:widowControl w:val="0"/>
              <w:jc w:val="both"/>
              <w:rPr>
                <w:b/>
              </w:rPr>
            </w:pPr>
          </w:p>
        </w:tc>
        <w:tc>
          <w:tcPr>
            <w:tcW w:w="4897" w:type="dxa"/>
            <w:tcBorders>
              <w:top w:val="single" w:sz="8" w:space="0" w:color="000000"/>
              <w:left w:val="single" w:sz="8" w:space="0" w:color="000000"/>
              <w:bottom w:val="single" w:sz="8" w:space="0" w:color="000000"/>
              <w:right w:val="single" w:sz="8" w:space="0" w:color="000000"/>
            </w:tcBorders>
          </w:tcPr>
          <w:p w:rsidR="00EF2CD2" w:rsidRDefault="00290FA5">
            <w:pPr>
              <w:widowControl w:val="0"/>
              <w:ind w:firstLine="372"/>
              <w:jc w:val="both"/>
            </w:pPr>
            <w:r>
              <w:t xml:space="preserve">Довідка в довільній формі, яка містить інформацію про те, що між переможцем та замовником раніше не було укладено договорів, </w:t>
            </w:r>
          </w:p>
          <w:p w:rsidR="00EF2CD2" w:rsidRDefault="00290FA5">
            <w:pPr>
              <w:widowControl w:val="0"/>
              <w:ind w:firstLine="372"/>
              <w:jc w:val="both"/>
            </w:pPr>
            <w:r>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EF2CD2" w:rsidRDefault="00290FA5">
            <w:pPr>
              <w:widowControl w:val="0"/>
              <w:ind w:firstLine="372"/>
              <w:jc w:val="both"/>
            </w:pPr>
            <w: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2CD2" w:rsidRDefault="00EF2CD2">
      <w:pPr>
        <w:rPr>
          <w:b/>
        </w:rPr>
      </w:pPr>
    </w:p>
    <w:p w:rsidR="009057BB" w:rsidRDefault="009057BB" w:rsidP="009057BB">
      <w:pPr>
        <w:ind w:right="848"/>
      </w:pPr>
    </w:p>
    <w:p w:rsidR="00EF2CD2" w:rsidRDefault="00290FA5" w:rsidP="009057BB">
      <w:pPr>
        <w:tabs>
          <w:tab w:val="left" w:pos="6687"/>
        </w:tabs>
        <w:ind w:right="848"/>
      </w:pPr>
      <w:r>
        <w:rPr>
          <w:b/>
        </w:rPr>
        <w:t>1.</w:t>
      </w:r>
      <w:r w:rsidR="00524430">
        <w:rPr>
          <w:b/>
          <w:lang w:val="uk-UA"/>
        </w:rPr>
        <w:t>2</w:t>
      </w:r>
      <w:r>
        <w:rPr>
          <w:b/>
          <w:u w:val="single"/>
        </w:rPr>
        <w:t>. Документи, які надаються ПЕРЕМОЖЦЕМ (фізичною особою чи фізичною особою-підприємцем):</w:t>
      </w:r>
    </w:p>
    <w:tbl>
      <w:tblPr>
        <w:tblStyle w:val="9"/>
        <w:tblW w:w="10013" w:type="dxa"/>
        <w:tblInd w:w="-100" w:type="dxa"/>
        <w:tblLayout w:type="fixed"/>
        <w:tblLook w:val="0400" w:firstRow="0" w:lastRow="0" w:firstColumn="0" w:lastColumn="0" w:noHBand="0" w:noVBand="1"/>
      </w:tblPr>
      <w:tblGrid>
        <w:gridCol w:w="657"/>
        <w:gridCol w:w="4355"/>
        <w:gridCol w:w="5001"/>
      </w:tblGrid>
      <w:tr w:rsidR="00EF2CD2">
        <w:trPr>
          <w:trHeight w:val="825"/>
        </w:trPr>
        <w:tc>
          <w:tcPr>
            <w:tcW w:w="657" w:type="dxa"/>
            <w:tcBorders>
              <w:top w:val="single" w:sz="8" w:space="0" w:color="000000"/>
              <w:left w:val="single" w:sz="8" w:space="0" w:color="000000"/>
              <w:bottom w:val="single" w:sz="8" w:space="0" w:color="000000"/>
              <w:right w:val="single" w:sz="8" w:space="0" w:color="000000"/>
            </w:tcBorders>
          </w:tcPr>
          <w:p w:rsidR="00EF2CD2" w:rsidRDefault="00290FA5">
            <w:pPr>
              <w:widowControl w:val="0"/>
              <w:jc w:val="center"/>
            </w:pPr>
            <w:r>
              <w:rPr>
                <w:b/>
              </w:rPr>
              <w:t>№</w:t>
            </w:r>
          </w:p>
          <w:p w:rsidR="00EF2CD2" w:rsidRDefault="00290FA5">
            <w:pPr>
              <w:widowControl w:val="0"/>
              <w:jc w:val="center"/>
            </w:pPr>
            <w:r>
              <w:rPr>
                <w:b/>
              </w:rPr>
              <w:t>з/п</w:t>
            </w:r>
          </w:p>
        </w:tc>
        <w:tc>
          <w:tcPr>
            <w:tcW w:w="4355" w:type="dxa"/>
            <w:tcBorders>
              <w:top w:val="single" w:sz="8" w:space="0" w:color="000000"/>
              <w:left w:val="single" w:sz="8" w:space="0" w:color="000000"/>
              <w:bottom w:val="single" w:sz="8" w:space="0" w:color="000000"/>
              <w:right w:val="single" w:sz="8" w:space="0" w:color="000000"/>
            </w:tcBorders>
          </w:tcPr>
          <w:p w:rsidR="00EF2CD2" w:rsidRPr="00287A06" w:rsidRDefault="00290FA5">
            <w:pPr>
              <w:widowControl w:val="0"/>
              <w:jc w:val="center"/>
              <w:rPr>
                <w:b/>
              </w:rPr>
            </w:pPr>
            <w:r w:rsidRPr="00287A06">
              <w:rPr>
                <w:b/>
              </w:rPr>
              <w:t xml:space="preserve">Вимоги згідно </w:t>
            </w:r>
          </w:p>
          <w:p w:rsidR="00EF2CD2" w:rsidRPr="00287A06" w:rsidRDefault="00290FA5">
            <w:pPr>
              <w:widowControl w:val="0"/>
              <w:jc w:val="center"/>
              <w:rPr>
                <w:b/>
              </w:rPr>
            </w:pPr>
            <w:r w:rsidRPr="00287A06">
              <w:rPr>
                <w:b/>
              </w:rPr>
              <w:t>пункту 4</w:t>
            </w:r>
            <w:r w:rsidR="00372875" w:rsidRPr="00287A06">
              <w:rPr>
                <w:b/>
                <w:lang w:val="uk-UA"/>
              </w:rPr>
              <w:t>7</w:t>
            </w:r>
            <w:r w:rsidRPr="00287A06">
              <w:rPr>
                <w:b/>
              </w:rPr>
              <w:t xml:space="preserve"> Особливостей</w:t>
            </w:r>
          </w:p>
          <w:p w:rsidR="00EF2CD2" w:rsidRPr="00287A06" w:rsidRDefault="00EF2CD2">
            <w:pPr>
              <w:widowControl w:val="0"/>
              <w:jc w:val="center"/>
            </w:pPr>
          </w:p>
        </w:tc>
        <w:tc>
          <w:tcPr>
            <w:tcW w:w="5001" w:type="dxa"/>
            <w:tcBorders>
              <w:top w:val="single" w:sz="8" w:space="0" w:color="000000"/>
              <w:left w:val="single" w:sz="8" w:space="0" w:color="000000"/>
              <w:bottom w:val="single" w:sz="8" w:space="0" w:color="000000"/>
              <w:right w:val="single" w:sz="8" w:space="0" w:color="000000"/>
            </w:tcBorders>
          </w:tcPr>
          <w:p w:rsidR="00EF2CD2" w:rsidRPr="00287A06" w:rsidRDefault="00290FA5" w:rsidP="00372875">
            <w:pPr>
              <w:widowControl w:val="0"/>
              <w:jc w:val="center"/>
            </w:pPr>
            <w:r w:rsidRPr="00287A06">
              <w:rPr>
                <w:b/>
              </w:rPr>
              <w:t>Переможець торгів на виконання вимог пункту 4</w:t>
            </w:r>
            <w:r w:rsidR="00372875" w:rsidRPr="00287A06">
              <w:rPr>
                <w:b/>
                <w:lang w:val="uk-UA"/>
              </w:rPr>
              <w:t>7</w:t>
            </w:r>
            <w:r w:rsidRPr="00287A06">
              <w:rPr>
                <w:b/>
              </w:rPr>
              <w:t xml:space="preserve"> Особливостей (підтвердження відсутності підстав) повинен надати таку інформацію:</w:t>
            </w:r>
          </w:p>
        </w:tc>
      </w:tr>
      <w:tr w:rsidR="00EF2CD2">
        <w:trPr>
          <w:trHeight w:val="1723"/>
        </w:trPr>
        <w:tc>
          <w:tcPr>
            <w:tcW w:w="657" w:type="dxa"/>
            <w:tcBorders>
              <w:top w:val="single" w:sz="8" w:space="0" w:color="000000"/>
              <w:left w:val="single" w:sz="8" w:space="0" w:color="000000"/>
              <w:bottom w:val="single" w:sz="8" w:space="0" w:color="000000"/>
              <w:right w:val="single" w:sz="8" w:space="0" w:color="000000"/>
            </w:tcBorders>
          </w:tcPr>
          <w:p w:rsidR="00EF2CD2" w:rsidRDefault="00290FA5">
            <w:pPr>
              <w:widowControl w:val="0"/>
              <w:jc w:val="center"/>
            </w:pPr>
            <w:r>
              <w:rPr>
                <w:b/>
              </w:rPr>
              <w:t>1</w:t>
            </w:r>
          </w:p>
        </w:tc>
        <w:tc>
          <w:tcPr>
            <w:tcW w:w="4355" w:type="dxa"/>
            <w:tcBorders>
              <w:top w:val="single" w:sz="8" w:space="0" w:color="000000"/>
              <w:left w:val="single" w:sz="8" w:space="0" w:color="000000"/>
              <w:bottom w:val="single" w:sz="4" w:space="0" w:color="000000"/>
              <w:right w:val="single" w:sz="8" w:space="0" w:color="000000"/>
            </w:tcBorders>
          </w:tcPr>
          <w:p w:rsidR="00EF2CD2" w:rsidRPr="00287A06" w:rsidRDefault="00372875">
            <w:pPr>
              <w:widowControl w:val="0"/>
              <w:spacing w:before="120"/>
              <w:jc w:val="both"/>
            </w:pPr>
            <w:r w:rsidRPr="00287A06">
              <w:rPr>
                <w:lang w:val="uk-UA"/>
              </w:rPr>
              <w:t>Ф</w:t>
            </w:r>
            <w:r w:rsidR="00290FA5" w:rsidRPr="00287A06">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2CD2" w:rsidRPr="00287A06" w:rsidRDefault="00290FA5">
            <w:pPr>
              <w:widowControl w:val="0"/>
              <w:jc w:val="both"/>
              <w:rPr>
                <w:b/>
              </w:rPr>
            </w:pPr>
            <w:r w:rsidRPr="00287A06">
              <w:rPr>
                <w:b/>
              </w:rPr>
              <w:t>(підпункт 3 пункт</w:t>
            </w:r>
            <w:r w:rsidR="00372875" w:rsidRPr="00287A06">
              <w:rPr>
                <w:b/>
                <w:lang w:val="uk-UA"/>
              </w:rPr>
              <w:t>у</w:t>
            </w:r>
            <w:r w:rsidRPr="00287A06">
              <w:rPr>
                <w:b/>
              </w:rPr>
              <w:t xml:space="preserve"> 4</w:t>
            </w:r>
            <w:r w:rsidR="00372875" w:rsidRPr="00287A06">
              <w:rPr>
                <w:b/>
                <w:lang w:val="uk-UA"/>
              </w:rPr>
              <w:t>7</w:t>
            </w:r>
            <w:r w:rsidRPr="00287A06">
              <w:rPr>
                <w:b/>
              </w:rPr>
              <w:t xml:space="preserve"> Особливостей)</w:t>
            </w:r>
          </w:p>
          <w:p w:rsidR="00EF2CD2" w:rsidRPr="00287A06" w:rsidRDefault="00EF2CD2">
            <w:pPr>
              <w:widowControl w:val="0"/>
              <w:jc w:val="both"/>
              <w:rPr>
                <w:b/>
              </w:rPr>
            </w:pPr>
          </w:p>
        </w:tc>
        <w:tc>
          <w:tcPr>
            <w:tcW w:w="5001" w:type="dxa"/>
            <w:tcBorders>
              <w:top w:val="single" w:sz="8" w:space="0" w:color="000000"/>
              <w:left w:val="single" w:sz="8" w:space="0" w:color="000000"/>
              <w:bottom w:val="single" w:sz="4" w:space="0" w:color="000000"/>
              <w:right w:val="single" w:sz="8" w:space="0" w:color="000000"/>
            </w:tcBorders>
          </w:tcPr>
          <w:p w:rsidR="00EF2CD2" w:rsidRPr="00364783" w:rsidRDefault="00290FA5">
            <w:pPr>
              <w:widowControl w:val="0"/>
              <w:ind w:firstLine="473"/>
              <w:jc w:val="both"/>
            </w:pPr>
            <w:r w:rsidRPr="00364783">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07C17" w:rsidRPr="00364783" w:rsidRDefault="00290FA5">
            <w:pPr>
              <w:widowControl w:val="0"/>
              <w:ind w:firstLine="473"/>
              <w:jc w:val="both"/>
            </w:pPr>
            <w:r w:rsidRPr="00364783">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F2CD2" w:rsidRPr="00364783" w:rsidRDefault="00907C17" w:rsidP="00883433">
            <w:pPr>
              <w:widowControl w:val="0"/>
              <w:ind w:firstLine="473"/>
              <w:jc w:val="both"/>
            </w:pPr>
            <w:r w:rsidRPr="00364783">
              <w:t>видан</w:t>
            </w:r>
            <w:r w:rsidR="00883433" w:rsidRPr="00364783">
              <w:rPr>
                <w:lang w:val="uk-UA"/>
              </w:rPr>
              <w:t>а</w:t>
            </w:r>
            <w:r w:rsidRPr="00364783">
              <w:t xml:space="preserve"> не раніше ніж за 30 календарних днів до дати подання</w:t>
            </w:r>
          </w:p>
        </w:tc>
      </w:tr>
      <w:tr w:rsidR="00372875" w:rsidTr="00B05DFF">
        <w:trPr>
          <w:trHeight w:val="4007"/>
        </w:trPr>
        <w:tc>
          <w:tcPr>
            <w:tcW w:w="657" w:type="dxa"/>
            <w:tcBorders>
              <w:top w:val="single" w:sz="8" w:space="0" w:color="000000"/>
              <w:left w:val="single" w:sz="8" w:space="0" w:color="000000"/>
              <w:right w:val="single" w:sz="4" w:space="0" w:color="000000"/>
            </w:tcBorders>
          </w:tcPr>
          <w:p w:rsidR="00372875" w:rsidRDefault="00372875">
            <w:pPr>
              <w:widowControl w:val="0"/>
              <w:jc w:val="center"/>
            </w:pPr>
            <w:r>
              <w:rPr>
                <w:b/>
              </w:rPr>
              <w:t>2</w:t>
            </w:r>
          </w:p>
        </w:tc>
        <w:tc>
          <w:tcPr>
            <w:tcW w:w="4355" w:type="dxa"/>
            <w:tcBorders>
              <w:top w:val="single" w:sz="4" w:space="0" w:color="000000"/>
              <w:left w:val="single" w:sz="4" w:space="0" w:color="000000"/>
              <w:right w:val="single" w:sz="4" w:space="0" w:color="000000"/>
            </w:tcBorders>
          </w:tcPr>
          <w:p w:rsidR="00372875" w:rsidRPr="00287A06" w:rsidRDefault="00372875">
            <w:pPr>
              <w:widowControl w:val="0"/>
              <w:spacing w:before="120"/>
              <w:jc w:val="both"/>
            </w:pPr>
            <w:r w:rsidRPr="00287A06">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2875" w:rsidRPr="00287A06" w:rsidRDefault="00372875">
            <w:pPr>
              <w:widowControl w:val="0"/>
              <w:spacing w:before="120"/>
              <w:jc w:val="both"/>
              <w:rPr>
                <w:b/>
              </w:rPr>
            </w:pPr>
            <w:r w:rsidRPr="00287A06">
              <w:rPr>
                <w:b/>
              </w:rPr>
              <w:t>(підпункт 5 пункт</w:t>
            </w:r>
            <w:r w:rsidRPr="00287A06">
              <w:rPr>
                <w:b/>
                <w:lang w:val="uk-UA"/>
              </w:rPr>
              <w:t>у</w:t>
            </w:r>
            <w:r w:rsidRPr="00287A06">
              <w:rPr>
                <w:b/>
              </w:rPr>
              <w:t xml:space="preserve"> 4</w:t>
            </w:r>
            <w:r w:rsidRPr="00287A06">
              <w:rPr>
                <w:b/>
                <w:lang w:val="uk-UA"/>
              </w:rPr>
              <w:t>7</w:t>
            </w:r>
            <w:r w:rsidRPr="00287A06">
              <w:rPr>
                <w:b/>
              </w:rPr>
              <w:t xml:space="preserve"> Особливостей)</w:t>
            </w:r>
          </w:p>
          <w:p w:rsidR="00372875" w:rsidRPr="00287A06" w:rsidRDefault="00372875">
            <w:pPr>
              <w:widowControl w:val="0"/>
              <w:spacing w:before="120"/>
              <w:jc w:val="both"/>
              <w:rPr>
                <w:b/>
              </w:rPr>
            </w:pPr>
          </w:p>
        </w:tc>
        <w:tc>
          <w:tcPr>
            <w:tcW w:w="5001" w:type="dxa"/>
            <w:tcBorders>
              <w:top w:val="single" w:sz="4" w:space="0" w:color="000000"/>
              <w:left w:val="single" w:sz="4" w:space="0" w:color="000000"/>
              <w:bottom w:val="single" w:sz="4" w:space="0" w:color="000000"/>
              <w:right w:val="single" w:sz="4" w:space="0" w:color="000000"/>
            </w:tcBorders>
          </w:tcPr>
          <w:p w:rsidR="00372875" w:rsidRPr="00364783" w:rsidRDefault="00942E52">
            <w:pPr>
              <w:widowControl w:val="0"/>
              <w:ind w:firstLine="473"/>
              <w:jc w:val="both"/>
              <w:rPr>
                <w:shd w:val="clear" w:color="auto" w:fill="FFFFFF"/>
              </w:rPr>
            </w:pPr>
            <w:r w:rsidRPr="00364783">
              <w:rPr>
                <w:shd w:val="clear" w:color="auto" w:fill="FFFFFF"/>
                <w:lang w:val="uk-UA"/>
              </w:rPr>
              <w:t>Д</w:t>
            </w:r>
            <w:r w:rsidRPr="00364783">
              <w:rPr>
                <w:shd w:val="clear" w:color="auto" w:fill="FFFFFF"/>
              </w:rPr>
              <w:t xml:space="preserve">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9" w:tgtFrame="_blank" w:history="1">
              <w:r w:rsidRPr="00364783">
                <w:rPr>
                  <w:shd w:val="clear" w:color="auto" w:fill="FFFFFF"/>
                </w:rPr>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364783">
              <w:rPr>
                <w:shd w:val="clear" w:color="auto" w:fill="FFFFFF"/>
              </w:rPr>
              <w:t>, який містить актуальні на дату його подання замовнику відомості про відсутність у фізичної особи, яка є учасником процедури закупівлі, судимості або обмежень, передбачених кримінальним процесуальним законодавством України</w:t>
            </w:r>
          </w:p>
          <w:p w:rsidR="00907C17" w:rsidRPr="00364783" w:rsidRDefault="00907C17">
            <w:pPr>
              <w:widowControl w:val="0"/>
              <w:ind w:firstLine="473"/>
              <w:jc w:val="both"/>
            </w:pPr>
            <w:r w:rsidRPr="00364783">
              <w:t>виданий не раніше ніж за 30 календарних днів до дати подання</w:t>
            </w:r>
          </w:p>
        </w:tc>
      </w:tr>
      <w:tr w:rsidR="00372875" w:rsidTr="00942E52">
        <w:trPr>
          <w:trHeight w:val="720"/>
        </w:trPr>
        <w:tc>
          <w:tcPr>
            <w:tcW w:w="657" w:type="dxa"/>
            <w:tcBorders>
              <w:top w:val="single" w:sz="8" w:space="0" w:color="000000"/>
              <w:left w:val="single" w:sz="8" w:space="0" w:color="000000"/>
              <w:bottom w:val="single" w:sz="8" w:space="0" w:color="000000"/>
              <w:right w:val="single" w:sz="4" w:space="0" w:color="000000"/>
            </w:tcBorders>
          </w:tcPr>
          <w:p w:rsidR="00372875" w:rsidRPr="00372875" w:rsidRDefault="00372875" w:rsidP="00372875">
            <w:pPr>
              <w:widowControl w:val="0"/>
              <w:jc w:val="center"/>
              <w:rPr>
                <w:b/>
                <w:lang w:val="uk-UA"/>
              </w:rPr>
            </w:pPr>
            <w:r>
              <w:rPr>
                <w:b/>
                <w:lang w:val="uk-UA"/>
              </w:rPr>
              <w:t>3</w:t>
            </w:r>
          </w:p>
        </w:tc>
        <w:tc>
          <w:tcPr>
            <w:tcW w:w="4355" w:type="dxa"/>
            <w:tcBorders>
              <w:top w:val="single" w:sz="4" w:space="0" w:color="000000"/>
              <w:left w:val="single" w:sz="4" w:space="0" w:color="000000"/>
              <w:bottom w:val="single" w:sz="4" w:space="0" w:color="000000"/>
              <w:right w:val="single" w:sz="4" w:space="0" w:color="000000"/>
            </w:tcBorders>
          </w:tcPr>
          <w:p w:rsidR="00372875" w:rsidRPr="00287A06" w:rsidRDefault="00372875" w:rsidP="00372875">
            <w:pPr>
              <w:widowControl w:val="0"/>
              <w:spacing w:before="120"/>
              <w:jc w:val="both"/>
              <w:rPr>
                <w:lang w:val="uk-UA"/>
              </w:rPr>
            </w:pPr>
            <w:r w:rsidRPr="00287A06">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875" w:rsidRPr="00287A06" w:rsidRDefault="00372875" w:rsidP="00372875">
            <w:pPr>
              <w:widowControl w:val="0"/>
              <w:jc w:val="both"/>
              <w:rPr>
                <w:b/>
              </w:rPr>
            </w:pPr>
            <w:r w:rsidRPr="00287A06">
              <w:rPr>
                <w:b/>
              </w:rPr>
              <w:lastRenderedPageBreak/>
              <w:t>(підпункт 12 пункт</w:t>
            </w:r>
            <w:r w:rsidRPr="00287A06">
              <w:rPr>
                <w:b/>
                <w:lang w:val="uk-UA"/>
              </w:rPr>
              <w:t>у</w:t>
            </w:r>
            <w:r w:rsidRPr="00287A06">
              <w:rPr>
                <w:b/>
              </w:rPr>
              <w:t xml:space="preserve"> 4</w:t>
            </w:r>
            <w:r w:rsidRPr="00287A06">
              <w:rPr>
                <w:b/>
                <w:lang w:val="uk-UA"/>
              </w:rPr>
              <w:t>7</w:t>
            </w:r>
            <w:r w:rsidR="00942E52" w:rsidRPr="00287A06">
              <w:rPr>
                <w:b/>
                <w:lang w:val="uk-UA"/>
              </w:rPr>
              <w:t xml:space="preserve"> </w:t>
            </w:r>
            <w:r w:rsidRPr="00287A06">
              <w:rPr>
                <w:b/>
              </w:rPr>
              <w:t xml:space="preserve"> Особливостей)</w:t>
            </w:r>
          </w:p>
        </w:tc>
        <w:tc>
          <w:tcPr>
            <w:tcW w:w="5001" w:type="dxa"/>
            <w:tcBorders>
              <w:top w:val="single" w:sz="4" w:space="0" w:color="000000"/>
              <w:left w:val="single" w:sz="4" w:space="0" w:color="000000"/>
              <w:bottom w:val="single" w:sz="4" w:space="0" w:color="000000"/>
              <w:right w:val="single" w:sz="4" w:space="0" w:color="000000"/>
            </w:tcBorders>
          </w:tcPr>
          <w:p w:rsidR="00372875" w:rsidRDefault="00372875" w:rsidP="00372875">
            <w:pPr>
              <w:widowControl w:val="0"/>
              <w:pBdr>
                <w:top w:val="nil"/>
                <w:left w:val="nil"/>
                <w:bottom w:val="nil"/>
                <w:right w:val="nil"/>
                <w:between w:val="nil"/>
              </w:pBdr>
              <w:spacing w:line="276" w:lineRule="auto"/>
              <w:jc w:val="both"/>
            </w:pPr>
            <w:r w:rsidRPr="00287A06">
              <w:rPr>
                <w:shd w:val="clear" w:color="auto" w:fill="FFFFFF"/>
                <w:lang w:val="uk-UA"/>
              </w:rPr>
              <w:lastRenderedPageBreak/>
              <w:t>Д</w:t>
            </w:r>
            <w:r w:rsidRPr="00287A06">
              <w:rPr>
                <w:shd w:val="clear" w:color="auto" w:fill="FFFFFF"/>
              </w:rPr>
              <w:t xml:space="preserve">овідка, складена в довільній формі, яка підтверджує про те, що </w:t>
            </w:r>
            <w:r w:rsidRPr="00287A06">
              <w:t xml:space="preserve">фізичну особу, яка є учасником процедури закупівлі, не було притягнуто згідно із законом до відповідальності за вчинення </w:t>
            </w:r>
            <w:r w:rsidRPr="00287A06">
              <w:lastRenderedPageBreak/>
              <w:t>правопорушення, пов'язаного з використанням дитячої праці чи будь-якими формами торгівлі людьми</w:t>
            </w:r>
          </w:p>
          <w:p w:rsidR="00907C17" w:rsidRPr="00287A06" w:rsidRDefault="00907C17" w:rsidP="00883433">
            <w:pPr>
              <w:widowControl w:val="0"/>
              <w:pBdr>
                <w:top w:val="nil"/>
                <w:left w:val="nil"/>
                <w:bottom w:val="nil"/>
                <w:right w:val="nil"/>
                <w:between w:val="nil"/>
              </w:pBdr>
              <w:spacing w:line="276" w:lineRule="auto"/>
              <w:jc w:val="both"/>
              <w:rPr>
                <w:b/>
              </w:rPr>
            </w:pPr>
            <w:r w:rsidRPr="00364783">
              <w:t>видан</w:t>
            </w:r>
            <w:r w:rsidR="00883433" w:rsidRPr="00364783">
              <w:rPr>
                <w:lang w:val="uk-UA"/>
              </w:rPr>
              <w:t>а</w:t>
            </w:r>
            <w:r w:rsidRPr="00364783">
              <w:t xml:space="preserve"> не раніше ніж за 30 календарних днів до дати подання</w:t>
            </w:r>
          </w:p>
        </w:tc>
      </w:tr>
      <w:tr w:rsidR="00372875">
        <w:trPr>
          <w:trHeight w:val="862"/>
        </w:trPr>
        <w:tc>
          <w:tcPr>
            <w:tcW w:w="657" w:type="dxa"/>
            <w:tcBorders>
              <w:top w:val="single" w:sz="8" w:space="0" w:color="000000"/>
              <w:left w:val="single" w:sz="8" w:space="0" w:color="000000"/>
              <w:bottom w:val="single" w:sz="8" w:space="0" w:color="000000"/>
              <w:right w:val="single" w:sz="8" w:space="0" w:color="000000"/>
            </w:tcBorders>
          </w:tcPr>
          <w:p w:rsidR="00372875" w:rsidRDefault="00372875" w:rsidP="00372875">
            <w:pPr>
              <w:widowControl w:val="0"/>
              <w:jc w:val="center"/>
              <w:rPr>
                <w:b/>
              </w:rPr>
            </w:pPr>
            <w:r>
              <w:rPr>
                <w:b/>
              </w:rPr>
              <w:lastRenderedPageBreak/>
              <w:t>4</w:t>
            </w:r>
          </w:p>
        </w:tc>
        <w:tc>
          <w:tcPr>
            <w:tcW w:w="4355" w:type="dxa"/>
            <w:tcBorders>
              <w:top w:val="single" w:sz="4" w:space="0" w:color="000000"/>
              <w:left w:val="single" w:sz="8" w:space="0" w:color="000000"/>
              <w:bottom w:val="single" w:sz="8" w:space="0" w:color="000000"/>
              <w:right w:val="single" w:sz="8" w:space="0" w:color="000000"/>
            </w:tcBorders>
          </w:tcPr>
          <w:p w:rsidR="00372875" w:rsidRDefault="00372875" w:rsidP="00372875">
            <w:pPr>
              <w:widowControl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2875" w:rsidRDefault="00372875" w:rsidP="00372875">
            <w:pPr>
              <w:widowControl w:val="0"/>
              <w:jc w:val="both"/>
              <w:rPr>
                <w:b/>
              </w:rPr>
            </w:pPr>
            <w:r>
              <w:rPr>
                <w:b/>
              </w:rPr>
              <w:t xml:space="preserve">(абзац </w:t>
            </w:r>
            <w:r w:rsidRPr="0055087F">
              <w:rPr>
                <w:b/>
              </w:rPr>
              <w:t>14 пункт</w:t>
            </w:r>
            <w:r w:rsidRPr="0055087F">
              <w:rPr>
                <w:b/>
                <w:lang w:val="uk-UA"/>
              </w:rPr>
              <w:t>у</w:t>
            </w:r>
            <w:r w:rsidRPr="0055087F">
              <w:rPr>
                <w:b/>
              </w:rPr>
              <w:t xml:space="preserve"> 4</w:t>
            </w:r>
            <w:r w:rsidRPr="0055087F">
              <w:rPr>
                <w:b/>
                <w:lang w:val="uk-UA"/>
              </w:rPr>
              <w:t>7</w:t>
            </w:r>
            <w:r w:rsidRPr="0055087F">
              <w:rPr>
                <w:b/>
              </w:rPr>
              <w:t xml:space="preserve"> Особливостей)</w:t>
            </w:r>
          </w:p>
          <w:p w:rsidR="00372875" w:rsidRDefault="00372875" w:rsidP="00372875">
            <w:pPr>
              <w:widowControl w:val="0"/>
              <w:jc w:val="both"/>
              <w:rPr>
                <w:b/>
              </w:rPr>
            </w:pPr>
          </w:p>
        </w:tc>
        <w:tc>
          <w:tcPr>
            <w:tcW w:w="5001" w:type="dxa"/>
            <w:tcBorders>
              <w:top w:val="single" w:sz="4" w:space="0" w:color="000000"/>
              <w:left w:val="single" w:sz="8" w:space="0" w:color="000000"/>
              <w:bottom w:val="single" w:sz="8" w:space="0" w:color="000000"/>
              <w:right w:val="single" w:sz="8" w:space="0" w:color="000000"/>
            </w:tcBorders>
          </w:tcPr>
          <w:p w:rsidR="00372875" w:rsidRDefault="00372875" w:rsidP="00372875">
            <w:pPr>
              <w:widowControl w:val="0"/>
              <w:ind w:firstLine="473"/>
              <w:jc w:val="both"/>
            </w:pPr>
            <w:r>
              <w:t xml:space="preserve">Довідка в довільній формі, яка містить інформацію про те, що між переможцем та замовником раніше не було укладено договорів, </w:t>
            </w:r>
          </w:p>
          <w:p w:rsidR="00372875" w:rsidRDefault="00372875" w:rsidP="00372875">
            <w:pPr>
              <w:widowControl w:val="0"/>
              <w:ind w:firstLine="473"/>
              <w:jc w:val="both"/>
            </w:pPr>
            <w:r>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372875" w:rsidRDefault="00372875" w:rsidP="00372875">
            <w:pPr>
              <w:widowControl w:val="0"/>
              <w:ind w:firstLine="473"/>
              <w:jc w:val="both"/>
            </w:pPr>
            <w: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2CD2" w:rsidRDefault="00EF2CD2">
      <w:pPr>
        <w:shd w:val="clear" w:color="auto" w:fill="FFFFFF"/>
        <w:jc w:val="both"/>
        <w:rPr>
          <w:i/>
          <w:highlight w:val="white"/>
        </w:rPr>
      </w:pPr>
    </w:p>
    <w:p w:rsidR="009A38A0" w:rsidRPr="00EC4ECA" w:rsidRDefault="009A38A0" w:rsidP="009A38A0">
      <w:pPr>
        <w:widowControl w:val="0"/>
        <w:jc w:val="both"/>
        <w:rPr>
          <w:i/>
          <w:color w:val="000000"/>
        </w:rPr>
      </w:pPr>
      <w:r w:rsidRPr="00EC4EC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9A38A0" w:rsidRPr="00EC4ECA" w:rsidRDefault="009A38A0" w:rsidP="009A38A0">
      <w:pPr>
        <w:widowControl w:val="0"/>
        <w:jc w:val="both"/>
        <w:rPr>
          <w:i/>
          <w:color w:val="000000"/>
        </w:rPr>
      </w:pPr>
    </w:p>
    <w:p w:rsidR="00172BC1" w:rsidRDefault="009A38A0" w:rsidP="009A38A0">
      <w:pPr>
        <w:widowControl w:val="0"/>
        <w:jc w:val="both"/>
      </w:pPr>
      <w:r w:rsidRPr="00EC4ECA">
        <w:rPr>
          <w:i/>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172BC1" w:rsidRPr="00172BC1">
        <w:t xml:space="preserve"> </w:t>
      </w:r>
    </w:p>
    <w:p w:rsidR="009A38A0" w:rsidRDefault="00172BC1" w:rsidP="009A38A0">
      <w:pPr>
        <w:widowControl w:val="0"/>
        <w:jc w:val="both"/>
        <w:rPr>
          <w:i/>
          <w:color w:val="000000"/>
        </w:rPr>
      </w:pPr>
      <w:r>
        <w:tab/>
      </w:r>
      <w:r w:rsidRPr="00C617AB">
        <w:rPr>
          <w:i/>
          <w:color w:val="000000"/>
        </w:rPr>
        <w:t>В умовах воєнного стану може бути тимчасово відсутній вільний доступ до публічної інформації, що міститься у відкритих єдиних державних реєстрах, доступ є обмеженим або тимчасово зупиненим.Замовник у разі такого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9A38A0" w:rsidRPr="00EC4ECA" w:rsidRDefault="009A38A0" w:rsidP="009A38A0">
      <w:pPr>
        <w:widowControl w:val="0"/>
        <w:jc w:val="both"/>
        <w:rPr>
          <w:i/>
          <w:color w:val="000000"/>
        </w:rPr>
      </w:pPr>
      <w:r w:rsidRPr="00EC4ECA">
        <w:rPr>
          <w:i/>
          <w:color w:val="00000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9A38A0" w:rsidRPr="00EC4ECA" w:rsidRDefault="009A38A0" w:rsidP="009A38A0">
      <w:pPr>
        <w:widowControl w:val="0"/>
        <w:jc w:val="both"/>
        <w:rPr>
          <w:i/>
          <w:color w:val="000000"/>
        </w:rPr>
      </w:pPr>
      <w:r w:rsidRPr="00EC4ECA">
        <w:rPr>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A38A0" w:rsidRPr="00EC4ECA" w:rsidRDefault="009A38A0" w:rsidP="009A38A0">
      <w:pPr>
        <w:widowControl w:val="0"/>
        <w:jc w:val="both"/>
        <w:rPr>
          <w:i/>
          <w:color w:val="000000"/>
        </w:rPr>
      </w:pPr>
    </w:p>
    <w:p w:rsidR="009A38A0" w:rsidRPr="00EC4ECA" w:rsidRDefault="009A38A0" w:rsidP="009A38A0">
      <w:pPr>
        <w:widowControl w:val="0"/>
        <w:jc w:val="both"/>
        <w:rPr>
          <w:i/>
          <w:color w:val="000000"/>
        </w:rPr>
      </w:pPr>
      <w:r w:rsidRPr="00EC4ECA">
        <w:rPr>
          <w:i/>
          <w:color w:val="000000"/>
        </w:rPr>
        <w:t xml:space="preserve">Учасник процедури закупівлі нерезидент має право надавати аналогічні відомості (документи), що складаються в державі де він офіційно зареєстрований з наданням сканованого листа з </w:t>
      </w:r>
      <w:r w:rsidRPr="00EC4ECA">
        <w:rPr>
          <w:i/>
          <w:color w:val="000000"/>
        </w:rPr>
        <w:lastRenderedPageBreak/>
        <w:t>поясненнями та посиланнями на законодавство цієї країни.</w:t>
      </w:r>
    </w:p>
    <w:p w:rsidR="009A38A0" w:rsidRPr="00EC4ECA" w:rsidRDefault="009A38A0" w:rsidP="009A38A0">
      <w:pPr>
        <w:widowControl w:val="0"/>
        <w:jc w:val="both"/>
        <w:rPr>
          <w:i/>
          <w:color w:val="000000"/>
        </w:rPr>
      </w:pPr>
    </w:p>
    <w:p w:rsidR="009A38A0" w:rsidRPr="00EC4ECA" w:rsidRDefault="009A38A0" w:rsidP="009A38A0">
      <w:pPr>
        <w:widowControl w:val="0"/>
        <w:jc w:val="both"/>
        <w:rPr>
          <w:i/>
          <w:color w:val="000000"/>
        </w:rPr>
      </w:pPr>
      <w:r w:rsidRPr="00EC4ECA">
        <w:rPr>
          <w:i/>
          <w:color w:val="000000"/>
        </w:rPr>
        <w:t>Примітки:</w:t>
      </w:r>
    </w:p>
    <w:p w:rsidR="009A38A0" w:rsidRPr="00EC4ECA" w:rsidRDefault="009A38A0" w:rsidP="009A38A0">
      <w:pPr>
        <w:widowControl w:val="0"/>
        <w:jc w:val="both"/>
        <w:rPr>
          <w:i/>
          <w:color w:val="000000"/>
        </w:rPr>
      </w:pPr>
      <w:r w:rsidRPr="00EC4ECA">
        <w:rPr>
          <w:i/>
          <w:color w:val="000000"/>
        </w:rPr>
        <w:t>а) вся інформація та документи, повинні бути засвідчені відповідно до вимог цієї тендерної документації;</w:t>
      </w:r>
    </w:p>
    <w:p w:rsidR="009A38A0" w:rsidRPr="00EC4ECA" w:rsidRDefault="009A38A0" w:rsidP="009A38A0">
      <w:pPr>
        <w:widowControl w:val="0"/>
        <w:jc w:val="both"/>
        <w:rPr>
          <w:i/>
          <w:color w:val="000000"/>
        </w:rPr>
      </w:pPr>
      <w:r w:rsidRPr="00EC4ECA">
        <w:rPr>
          <w:i/>
          <w:color w:val="000000"/>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9A38A0" w:rsidRPr="00EC4ECA" w:rsidRDefault="009A38A0" w:rsidP="009A38A0">
      <w:pPr>
        <w:widowControl w:val="0"/>
        <w:jc w:val="both"/>
        <w:rPr>
          <w:i/>
          <w:color w:val="000000"/>
        </w:rPr>
      </w:pPr>
      <w:r w:rsidRPr="00EC4ECA">
        <w:rPr>
          <w:i/>
          <w:color w:val="000000"/>
        </w:rPr>
        <w:t xml:space="preserve"> </w:t>
      </w:r>
    </w:p>
    <w:p w:rsidR="009A38A0" w:rsidRPr="00EC4ECA" w:rsidRDefault="00B74150" w:rsidP="009A38A0">
      <w:pPr>
        <w:widowControl w:val="0"/>
        <w:jc w:val="both"/>
        <w:rPr>
          <w:i/>
          <w:color w:val="000000"/>
        </w:rPr>
      </w:pPr>
      <w:r w:rsidRPr="00EC4ECA">
        <w:rPr>
          <w:i/>
          <w:color w:val="000000"/>
          <w:lang w:val="uk-UA"/>
        </w:rPr>
        <w:t>З</w:t>
      </w:r>
      <w:r w:rsidR="009A38A0" w:rsidRPr="00EC4ECA">
        <w:rPr>
          <w:i/>
          <w:color w:val="000000"/>
        </w:rPr>
        <w:t>авантажені учасником</w:t>
      </w:r>
      <w:r w:rsidRPr="00EC4ECA">
        <w:rPr>
          <w:i/>
          <w:color w:val="000000"/>
          <w:lang w:val="uk-UA"/>
        </w:rPr>
        <w:t>(переможцем) документів</w:t>
      </w:r>
      <w:r w:rsidR="009A38A0" w:rsidRPr="00EC4ECA">
        <w:rPr>
          <w:i/>
          <w:color w:val="000000"/>
        </w:rPr>
        <w:t xml:space="preserve"> до електронної системи закупівель після закінчення строку їх подання, не розглядаються, вважаються замовником такими, що не надані. Кінцевий строк завантаження учасником</w:t>
      </w:r>
      <w:r w:rsidR="009524F7" w:rsidRPr="00EC4ECA">
        <w:rPr>
          <w:i/>
          <w:color w:val="000000"/>
          <w:lang w:val="uk-UA"/>
        </w:rPr>
        <w:t>(переможцем)</w:t>
      </w:r>
      <w:r w:rsidR="009A38A0" w:rsidRPr="00EC4ECA">
        <w:rPr>
          <w:i/>
          <w:color w:val="000000"/>
        </w:rPr>
        <w:t xml:space="preserve"> до електронної системи закупівель </w:t>
      </w:r>
      <w:r w:rsidR="009524F7" w:rsidRPr="00EC4ECA">
        <w:rPr>
          <w:i/>
          <w:color w:val="000000"/>
          <w:lang w:val="uk-UA"/>
        </w:rPr>
        <w:t>відповідних документів</w:t>
      </w:r>
      <w:r w:rsidR="009A38A0" w:rsidRPr="00EC4ECA">
        <w:rPr>
          <w:i/>
          <w:color w:val="000000"/>
        </w:rPr>
        <w:t xml:space="preserve"> є четвертий день з дати оприлюднення на веб-порталі Уповноваженого органу повідомлення про намір укласти договір. </w:t>
      </w:r>
    </w:p>
    <w:p w:rsidR="009A38A0" w:rsidRPr="00EC4ECA" w:rsidRDefault="009A38A0" w:rsidP="009A38A0">
      <w:pPr>
        <w:widowControl w:val="0"/>
        <w:jc w:val="both"/>
        <w:rPr>
          <w:i/>
          <w:color w:val="000000"/>
        </w:rPr>
      </w:pPr>
    </w:p>
    <w:p w:rsidR="009A38A0" w:rsidRPr="00EC4ECA" w:rsidRDefault="009A38A0" w:rsidP="009A38A0">
      <w:pPr>
        <w:widowControl w:val="0"/>
        <w:jc w:val="both"/>
        <w:rPr>
          <w:i/>
          <w:color w:val="000000"/>
        </w:rPr>
      </w:pPr>
      <w:r w:rsidRPr="00EC4ECA">
        <w:rPr>
          <w:i/>
          <w:color w:val="000000"/>
        </w:rPr>
        <w:t xml:space="preserve">У разі неналежного оформлення або ненадання одного або декількох документів, які не відповідають вимогам встановленим в Додатку </w:t>
      </w:r>
      <w:r w:rsidR="000A6055" w:rsidRPr="00EC4ECA">
        <w:rPr>
          <w:i/>
          <w:color w:val="000000"/>
          <w:lang w:val="uk-UA"/>
        </w:rPr>
        <w:t>1</w:t>
      </w:r>
      <w:r w:rsidR="00AF1B47" w:rsidRPr="00EC4ECA">
        <w:rPr>
          <w:i/>
          <w:color w:val="000000"/>
          <w:lang w:val="uk-UA"/>
        </w:rPr>
        <w:t>, щодо учасника (переможця)</w:t>
      </w:r>
      <w:r w:rsidR="00715216" w:rsidRPr="00EC4ECA">
        <w:rPr>
          <w:i/>
          <w:color w:val="000000"/>
          <w:lang w:val="uk-UA"/>
        </w:rPr>
        <w:t>,</w:t>
      </w:r>
      <w:r w:rsidRPr="00EC4ECA">
        <w:rPr>
          <w:i/>
          <w:color w:val="000000"/>
        </w:rPr>
        <w:t xml:space="preserve"> тендерної документації, Замовник розцінює це як відмову від укладання договору про закупівлю.</w:t>
      </w:r>
    </w:p>
    <w:p w:rsidR="009A38A0" w:rsidRPr="00EC4ECA" w:rsidRDefault="009A38A0" w:rsidP="009A38A0">
      <w:pPr>
        <w:widowControl w:val="0"/>
        <w:jc w:val="both"/>
        <w:rPr>
          <w:i/>
          <w:color w:val="000000"/>
        </w:rPr>
      </w:pPr>
    </w:p>
    <w:p w:rsidR="009A38A0" w:rsidRPr="00EC4ECA" w:rsidRDefault="009A38A0" w:rsidP="009A38A0">
      <w:pPr>
        <w:widowControl w:val="0"/>
        <w:jc w:val="both"/>
        <w:rPr>
          <w:i/>
          <w:color w:val="000000"/>
        </w:rPr>
      </w:pPr>
      <w:r w:rsidRPr="00EC4ECA">
        <w:rPr>
          <w:i/>
          <w:color w:val="000000"/>
        </w:rPr>
        <w:t>Примітки:</w:t>
      </w:r>
    </w:p>
    <w:p w:rsidR="009A38A0" w:rsidRPr="00EC4ECA" w:rsidRDefault="009A38A0" w:rsidP="009A38A0">
      <w:pPr>
        <w:widowControl w:val="0"/>
        <w:jc w:val="both"/>
        <w:rPr>
          <w:i/>
          <w:color w:val="000000"/>
        </w:rPr>
      </w:pPr>
      <w:r w:rsidRPr="00EC4ECA">
        <w:rPr>
          <w:i/>
          <w:color w:val="000000"/>
        </w:rPr>
        <w:t xml:space="preserve">      Замовник не вимагає документального підтвердження інформації про відповідність підставам, встановленим</w:t>
      </w:r>
    </w:p>
    <w:p w:rsidR="009A38A0" w:rsidRPr="00EC4ECA" w:rsidRDefault="009A38A0" w:rsidP="009A38A0">
      <w:pPr>
        <w:widowControl w:val="0"/>
        <w:jc w:val="both"/>
        <w:rPr>
          <w:i/>
          <w:color w:val="000000"/>
        </w:rPr>
      </w:pPr>
      <w:r w:rsidRPr="00EC4ECA">
        <w:rPr>
          <w:i/>
          <w:color w:val="000000"/>
        </w:rPr>
        <w:t>статтею 17 цього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A38A0" w:rsidRPr="00EC4ECA" w:rsidRDefault="009A38A0" w:rsidP="009A38A0">
      <w:pPr>
        <w:widowControl w:val="0"/>
        <w:jc w:val="both"/>
        <w:rPr>
          <w:i/>
          <w:color w:val="000000"/>
        </w:rPr>
      </w:pPr>
    </w:p>
    <w:p w:rsidR="00EF2CD2" w:rsidRDefault="009A38A0" w:rsidP="009A38A0">
      <w:pPr>
        <w:widowControl w:val="0"/>
        <w:jc w:val="both"/>
        <w:rPr>
          <w:i/>
          <w:color w:val="000000"/>
        </w:rPr>
      </w:pPr>
      <w:r w:rsidRPr="00EC4ECA">
        <w:rPr>
          <w:i/>
          <w:color w:val="000000"/>
        </w:rPr>
        <w:t xml:space="preserve">           Згідно ст. 255 Цивільного кодексу України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9A38A0" w:rsidRDefault="009A38A0" w:rsidP="009A38A0">
      <w:pPr>
        <w:widowControl w:val="0"/>
        <w:jc w:val="both"/>
        <w:rPr>
          <w:b/>
          <w:color w:val="000000"/>
        </w:rPr>
      </w:pPr>
    </w:p>
    <w:p w:rsidR="00EF2CD2" w:rsidRDefault="00524430">
      <w:pPr>
        <w:widowControl w:val="0"/>
        <w:jc w:val="both"/>
        <w:rPr>
          <w:b/>
          <w:color w:val="000000"/>
        </w:rPr>
      </w:pPr>
      <w:r>
        <w:rPr>
          <w:b/>
          <w:color w:val="000000"/>
          <w:lang w:val="uk-UA"/>
        </w:rPr>
        <w:t>1.3</w:t>
      </w:r>
      <w:r w:rsidR="00290FA5">
        <w:rPr>
          <w:b/>
          <w:color w:val="000000"/>
        </w:rPr>
        <w:t>. Інші вимоги та відповідні документи:</w:t>
      </w:r>
    </w:p>
    <w:tbl>
      <w:tblPr>
        <w:tblStyle w:val="8"/>
        <w:tblW w:w="10065" w:type="dxa"/>
        <w:tblInd w:w="-34" w:type="dxa"/>
        <w:tblLayout w:type="fixed"/>
        <w:tblLook w:val="0400" w:firstRow="0" w:lastRow="0" w:firstColumn="0" w:lastColumn="0" w:noHBand="0" w:noVBand="1"/>
      </w:tblPr>
      <w:tblGrid>
        <w:gridCol w:w="567"/>
        <w:gridCol w:w="2552"/>
        <w:gridCol w:w="6946"/>
      </w:tblGrid>
      <w:tr w:rsidR="00EF2CD2">
        <w:trPr>
          <w:trHeight w:val="375"/>
        </w:trPr>
        <w:tc>
          <w:tcPr>
            <w:tcW w:w="567" w:type="dxa"/>
            <w:tcBorders>
              <w:top w:val="single" w:sz="4" w:space="0" w:color="000000"/>
              <w:left w:val="single" w:sz="4" w:space="0" w:color="000000"/>
              <w:bottom w:val="single" w:sz="4" w:space="0" w:color="000000"/>
            </w:tcBorders>
          </w:tcPr>
          <w:p w:rsidR="00EF2CD2" w:rsidRDefault="00290FA5">
            <w:pPr>
              <w:widowControl w:val="0"/>
              <w:jc w:val="center"/>
              <w:rPr>
                <w:color w:val="000000"/>
              </w:rPr>
            </w:pPr>
            <w:r>
              <w:rPr>
                <w:b/>
                <w:color w:val="000000"/>
              </w:rPr>
              <w:t>1.</w:t>
            </w:r>
          </w:p>
        </w:tc>
        <w:tc>
          <w:tcPr>
            <w:tcW w:w="2552" w:type="dxa"/>
            <w:tcBorders>
              <w:top w:val="single" w:sz="4" w:space="0" w:color="000000"/>
              <w:left w:val="single" w:sz="4" w:space="0" w:color="000000"/>
              <w:bottom w:val="single" w:sz="4" w:space="0" w:color="000000"/>
            </w:tcBorders>
          </w:tcPr>
          <w:p w:rsidR="00EF2CD2" w:rsidRPr="002A45A3" w:rsidRDefault="00942E52" w:rsidP="00942E52">
            <w:pPr>
              <w:widowControl w:val="0"/>
              <w:jc w:val="both"/>
              <w:rPr>
                <w:color w:val="000000"/>
              </w:rPr>
            </w:pPr>
            <w:r w:rsidRPr="002A45A3">
              <w:rPr>
                <w:color w:val="000000"/>
                <w:lang w:val="uk-UA"/>
              </w:rPr>
              <w:t>Д</w:t>
            </w:r>
            <w:r w:rsidRPr="002A45A3">
              <w:rPr>
                <w:color w:val="000000"/>
              </w:rPr>
              <w:t>окумент</w:t>
            </w:r>
            <w:r w:rsidRPr="002A45A3">
              <w:rPr>
                <w:color w:val="000000"/>
                <w:lang w:val="uk-UA"/>
              </w:rPr>
              <w:t>и</w:t>
            </w:r>
            <w:r w:rsidRPr="002A45A3">
              <w:rPr>
                <w:color w:val="000000"/>
              </w:rPr>
              <w:t>, що підтверджують повноваження посадової особи або представника учасника процедури закупівлі щодо підпису документів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tcPr>
          <w:p w:rsidR="00EF2CD2" w:rsidRPr="002A45A3" w:rsidRDefault="00290FA5">
            <w:pPr>
              <w:widowControl w:val="0"/>
              <w:jc w:val="both"/>
              <w:rPr>
                <w:b/>
                <w:color w:val="000000"/>
              </w:rPr>
            </w:pPr>
            <w:r w:rsidRPr="002A45A3">
              <w:rPr>
                <w:b/>
                <w:color w:val="000000"/>
              </w:rPr>
              <w:t>Для юридичних осіб</w:t>
            </w:r>
          </w:p>
          <w:p w:rsidR="00942E52" w:rsidRPr="002A45A3" w:rsidRDefault="00290FA5" w:rsidP="00942E52">
            <w:pPr>
              <w:widowControl w:val="0"/>
              <w:jc w:val="both"/>
            </w:pPr>
            <w:r w:rsidRPr="002A45A3">
              <w:rPr>
                <w:color w:val="000000"/>
              </w:rPr>
              <w:t xml:space="preserve">1. </w:t>
            </w:r>
            <w:r w:rsidR="00942E52" w:rsidRPr="002A45A3">
              <w:rPr>
                <w:i/>
                <w:lang w:val="uk-UA"/>
              </w:rPr>
              <w:t>Д</w:t>
            </w:r>
            <w:r w:rsidR="00942E52" w:rsidRPr="002A45A3">
              <w:rPr>
                <w:i/>
              </w:rPr>
              <w:t>ля керівника учасника процедури закупівлі</w:t>
            </w:r>
            <w:r w:rsidR="00942E52" w:rsidRPr="002A45A3">
              <w:t xml:space="preserve"> – виписка з протоколу зборів засновників, або копія протоколу зборів засновників, або копія розпорядчого документу про призначення на посаду керівника учасника процедури закупівлі, або копія іншого документу, яким підтверджуються повноваження керівника учасника процедури закупівлі щодо підпису документів тендерної пропозиції;</w:t>
            </w:r>
          </w:p>
          <w:p w:rsidR="00EF2CD2" w:rsidRPr="002A45A3" w:rsidRDefault="00942E52" w:rsidP="00942E52">
            <w:pPr>
              <w:widowControl w:val="0"/>
              <w:jc w:val="both"/>
              <w:rPr>
                <w:color w:val="000000"/>
              </w:rPr>
            </w:pPr>
            <w:r w:rsidRPr="002A45A3">
              <w:rPr>
                <w:i/>
              </w:rPr>
              <w:t>для іншого представника учасника процедури закупівлі</w:t>
            </w:r>
            <w:r w:rsidRPr="002A45A3">
              <w:t xml:space="preserve"> – копія довіреності (доручення), виданої керівником учасника процедури закупівлі на ім’я його представника, а також виписка з протоколу зборів засновників, або копія протоколу зборів засновників та наказ про призначення на посаду керівника учасника процедури закупівлі, який видав довіреність (доручення), або копія іншого документу, яким підтверджуються відповідні повноваження представника учасника процедури закупівлі і його керівника, який видав довіреність (доручення)</w:t>
            </w:r>
            <w:r w:rsidR="00290FA5" w:rsidRPr="002A45A3">
              <w:rPr>
                <w:color w:val="000000"/>
              </w:rPr>
              <w:t>.</w:t>
            </w:r>
          </w:p>
          <w:p w:rsidR="00EF2CD2" w:rsidRPr="002A45A3" w:rsidRDefault="00290FA5">
            <w:pPr>
              <w:widowControl w:val="0"/>
              <w:jc w:val="both"/>
              <w:rPr>
                <w:color w:val="000000"/>
              </w:rPr>
            </w:pPr>
            <w:r w:rsidRPr="002A45A3">
              <w:rPr>
                <w:color w:val="000000"/>
              </w:rPr>
              <w:t xml:space="preserve">2. </w:t>
            </w:r>
            <w:r w:rsidR="00942E52" w:rsidRPr="002A45A3">
              <w:rPr>
                <w:color w:val="000000"/>
              </w:rPr>
              <w:t>Статут (положення, установч</w:t>
            </w:r>
            <w:r w:rsidR="00942E52" w:rsidRPr="002A45A3">
              <w:rPr>
                <w:color w:val="000000"/>
                <w:lang w:val="uk-UA"/>
              </w:rPr>
              <w:t>ий</w:t>
            </w:r>
            <w:r w:rsidR="00942E52" w:rsidRPr="002A45A3">
              <w:rPr>
                <w:color w:val="000000"/>
              </w:rPr>
              <w:t xml:space="preserve"> догов</w:t>
            </w:r>
            <w:r w:rsidR="00942E52" w:rsidRPr="002A45A3">
              <w:rPr>
                <w:color w:val="000000"/>
                <w:lang w:val="uk-UA"/>
              </w:rPr>
              <w:t>ір</w:t>
            </w:r>
            <w:r w:rsidR="00942E52" w:rsidRPr="002A45A3">
              <w:rPr>
                <w:color w:val="000000"/>
              </w:rPr>
              <w:t xml:space="preserve"> або інш</w:t>
            </w:r>
            <w:r w:rsidR="00942E52" w:rsidRPr="002A45A3">
              <w:rPr>
                <w:color w:val="000000"/>
                <w:lang w:val="uk-UA"/>
              </w:rPr>
              <w:t>ий</w:t>
            </w:r>
            <w:r w:rsidR="00942E52" w:rsidRPr="002A45A3">
              <w:rPr>
                <w:color w:val="000000"/>
              </w:rPr>
              <w:t xml:space="preserve"> документ, який його замінює) учасника процедури закупівлі у повному обсязі в останній чинній редакції (якщо учасник процедури закупівлі здійснює діяльність відповідно до Статуту)</w:t>
            </w:r>
            <w:r w:rsidRPr="002A45A3">
              <w:rPr>
                <w:color w:val="000000"/>
              </w:rPr>
              <w:t xml:space="preserve">. </w:t>
            </w:r>
          </w:p>
          <w:p w:rsidR="00EF2CD2" w:rsidRPr="002A45A3" w:rsidRDefault="00290FA5">
            <w:pPr>
              <w:widowControl w:val="0"/>
              <w:jc w:val="both"/>
              <w:rPr>
                <w:color w:val="000000"/>
              </w:rPr>
            </w:pPr>
            <w:r w:rsidRPr="002A45A3">
              <w:rPr>
                <w:color w:val="000000"/>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EF2CD2" w:rsidRPr="002A45A3" w:rsidRDefault="00290FA5">
            <w:pPr>
              <w:widowControl w:val="0"/>
              <w:jc w:val="both"/>
              <w:rPr>
                <w:color w:val="000000"/>
              </w:rPr>
            </w:pPr>
            <w:r w:rsidRPr="002A45A3">
              <w:rPr>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F2CD2" w:rsidRPr="002A45A3" w:rsidRDefault="00290FA5">
            <w:pPr>
              <w:widowControl w:val="0"/>
              <w:jc w:val="both"/>
              <w:rPr>
                <w:color w:val="000000"/>
              </w:rPr>
            </w:pPr>
            <w:r w:rsidRPr="002A45A3">
              <w:rPr>
                <w:color w:val="000000"/>
              </w:rPr>
              <w:t>3.</w:t>
            </w:r>
            <w:r w:rsidR="00942E52" w:rsidRPr="002A45A3">
              <w:rPr>
                <w:color w:val="000000"/>
                <w:lang w:val="uk-UA"/>
              </w:rPr>
              <w:t xml:space="preserve"> </w:t>
            </w:r>
            <w:r w:rsidRPr="002A45A3">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942E52" w:rsidRPr="002A45A3" w:rsidRDefault="00942E52">
            <w:pPr>
              <w:widowControl w:val="0"/>
              <w:jc w:val="both"/>
              <w:rPr>
                <w:color w:val="000000"/>
              </w:rPr>
            </w:pPr>
            <w:r w:rsidRPr="002A45A3">
              <w:rPr>
                <w:lang w:val="uk-UA"/>
              </w:rPr>
              <w:t>4. Р</w:t>
            </w:r>
            <w:r w:rsidRPr="002A45A3">
              <w:t>ішення засновників про створення юридичної особи (</w:t>
            </w:r>
            <w:r w:rsidRPr="002A45A3">
              <w:rPr>
                <w:rStyle w:val="rvts0"/>
                <w:i/>
              </w:rPr>
              <w:t xml:space="preserve">якщо учасник </w:t>
            </w:r>
            <w:r w:rsidRPr="002A45A3">
              <w:rPr>
                <w:i/>
              </w:rPr>
              <w:t>процедури закупівлі</w:t>
            </w:r>
            <w:r w:rsidRPr="002A45A3">
              <w:rPr>
                <w:rStyle w:val="rvts0"/>
                <w:i/>
              </w:rPr>
              <w:t xml:space="preserve"> здійснює діяльність </w:t>
            </w:r>
            <w:r w:rsidRPr="002A45A3">
              <w:rPr>
                <w:i/>
              </w:rPr>
              <w:t>на підставі модельного статуту</w:t>
            </w:r>
            <w:r w:rsidRPr="002A45A3">
              <w:t>)</w:t>
            </w:r>
          </w:p>
          <w:p w:rsidR="00EF2CD2" w:rsidRPr="002A45A3" w:rsidRDefault="00290FA5">
            <w:pPr>
              <w:widowControl w:val="0"/>
              <w:jc w:val="both"/>
              <w:rPr>
                <w:color w:val="000000"/>
              </w:rPr>
            </w:pPr>
            <w:r w:rsidRPr="002A45A3">
              <w:rPr>
                <w:b/>
                <w:color w:val="000000"/>
                <w:u w:val="single"/>
              </w:rPr>
              <w:t>Для фізичних осіб</w:t>
            </w:r>
            <w:r w:rsidR="00235179" w:rsidRPr="002A45A3">
              <w:rPr>
                <w:b/>
                <w:color w:val="000000"/>
                <w:u w:val="single"/>
                <w:lang w:val="uk-UA"/>
              </w:rPr>
              <w:t xml:space="preserve"> (у тому числі фізичних осі</w:t>
            </w:r>
            <w:r w:rsidR="00942E52" w:rsidRPr="002A45A3">
              <w:rPr>
                <w:b/>
                <w:color w:val="000000"/>
                <w:u w:val="single"/>
                <w:lang w:val="uk-UA"/>
              </w:rPr>
              <w:t>б-</w:t>
            </w:r>
            <w:r w:rsidRPr="002A45A3">
              <w:rPr>
                <w:b/>
                <w:color w:val="000000"/>
                <w:u w:val="single"/>
              </w:rPr>
              <w:t>підприємців</w:t>
            </w:r>
            <w:r w:rsidR="00235179" w:rsidRPr="002A45A3">
              <w:rPr>
                <w:b/>
                <w:color w:val="000000"/>
                <w:u w:val="single"/>
                <w:lang w:val="uk-UA"/>
              </w:rPr>
              <w:t>)</w:t>
            </w:r>
            <w:r w:rsidRPr="002A45A3">
              <w:rPr>
                <w:b/>
                <w:color w:val="000000"/>
                <w:u w:val="single"/>
              </w:rPr>
              <w:t>:</w:t>
            </w:r>
          </w:p>
          <w:p w:rsidR="00EF2CD2" w:rsidRPr="002A45A3" w:rsidRDefault="00290FA5">
            <w:pPr>
              <w:widowControl w:val="0"/>
              <w:jc w:val="both"/>
              <w:rPr>
                <w:color w:val="000000"/>
              </w:rPr>
            </w:pPr>
            <w:r w:rsidRPr="002A45A3">
              <w:rPr>
                <w:color w:val="00000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EF2CD2" w:rsidRPr="002A45A3" w:rsidRDefault="00290FA5">
            <w:pPr>
              <w:widowControl w:val="0"/>
              <w:jc w:val="both"/>
              <w:rPr>
                <w:color w:val="000000"/>
              </w:rPr>
            </w:pPr>
            <w:r w:rsidRPr="002A45A3">
              <w:rPr>
                <w:color w:val="000000"/>
              </w:rPr>
              <w:t>2. Копія довідки про присвоєння ідентифікаційного номера або копія реєстраційного номеру облікової картки платника податків. *</w:t>
            </w:r>
            <w:r w:rsidRPr="002A45A3">
              <w:rPr>
                <w:i/>
                <w:color w:val="00000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EF2CD2" w:rsidTr="00DA7CB2">
        <w:trPr>
          <w:trHeight w:val="3109"/>
        </w:trPr>
        <w:tc>
          <w:tcPr>
            <w:tcW w:w="567" w:type="dxa"/>
            <w:tcBorders>
              <w:top w:val="single" w:sz="4" w:space="0" w:color="000000"/>
              <w:left w:val="single" w:sz="4" w:space="0" w:color="000000"/>
              <w:bottom w:val="single" w:sz="4" w:space="0" w:color="000000"/>
            </w:tcBorders>
          </w:tcPr>
          <w:p w:rsidR="00EF2CD2" w:rsidRDefault="00290FA5">
            <w:pPr>
              <w:widowControl w:val="0"/>
              <w:jc w:val="center"/>
              <w:rPr>
                <w:b/>
                <w:color w:val="000000"/>
              </w:rPr>
            </w:pPr>
            <w:r>
              <w:rPr>
                <w:b/>
                <w:color w:val="000000"/>
              </w:rPr>
              <w:lastRenderedPageBreak/>
              <w:t>2.</w:t>
            </w:r>
          </w:p>
        </w:tc>
        <w:tc>
          <w:tcPr>
            <w:tcW w:w="2552" w:type="dxa"/>
            <w:tcBorders>
              <w:top w:val="single" w:sz="4" w:space="0" w:color="000000"/>
              <w:left w:val="single" w:sz="4" w:space="0" w:color="000000"/>
              <w:bottom w:val="single" w:sz="4" w:space="0" w:color="000000"/>
            </w:tcBorders>
          </w:tcPr>
          <w:p w:rsidR="00EF2CD2" w:rsidRDefault="00290FA5">
            <w:pPr>
              <w:widowControl w:val="0"/>
              <w:rPr>
                <w:color w:val="000000"/>
              </w:rPr>
            </w:pPr>
            <w:r>
              <w:rPr>
                <w:color w:val="000000"/>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EF2CD2" w:rsidRPr="005B5267" w:rsidRDefault="00290FA5">
            <w:pPr>
              <w:widowControl w:val="0"/>
              <w:ind w:firstLine="199"/>
              <w:jc w:val="both"/>
            </w:pPr>
            <w:r w:rsidRPr="005B5267">
              <w:t>Довідка, складена у довільній формі за підписом уповноваженої особи Учасника та завірена печаткою (за наявності).</w:t>
            </w:r>
          </w:p>
          <w:p w:rsidR="00EF2CD2" w:rsidRDefault="00290FA5">
            <w:pPr>
              <w:widowControl w:val="0"/>
              <w:ind w:firstLine="199"/>
              <w:jc w:val="both"/>
              <w:rPr>
                <w:color w:val="000000"/>
              </w:rPr>
            </w:pPr>
            <w:r>
              <w:rPr>
                <w:color w:val="000000"/>
              </w:rPr>
              <w:t xml:space="preserve">Довідка має містити відомості про юридичну особу, а саме: </w:t>
            </w:r>
          </w:p>
          <w:p w:rsidR="00EF2CD2" w:rsidRDefault="00290FA5">
            <w:pPr>
              <w:widowControl w:val="0"/>
              <w:ind w:firstLine="199"/>
              <w:jc w:val="both"/>
              <w:rPr>
                <w:color w:val="000000"/>
              </w:rPr>
            </w:pPr>
            <w:r>
              <w:rPr>
                <w:color w:val="000000"/>
              </w:rPr>
              <w:t>а) реквізити (місцезнаходження (місце проживання), телефон, факс, телефон для контактів);</w:t>
            </w:r>
          </w:p>
          <w:p w:rsidR="00EF2CD2" w:rsidRDefault="00290FA5">
            <w:pPr>
              <w:widowControl w:val="0"/>
              <w:ind w:firstLine="199"/>
              <w:jc w:val="both"/>
              <w:rPr>
                <w:color w:val="000000"/>
              </w:rPr>
            </w:pPr>
            <w:r>
              <w:rPr>
                <w:color w:val="000000"/>
              </w:rPr>
              <w:t xml:space="preserve">б) керівництво та/або уповноважена(і) особа(и) учасника для підписання тенедрної пропозиції та договору про закупівлю (посада, прізвище, ім’я, по батькові); </w:t>
            </w:r>
          </w:p>
          <w:p w:rsidR="00EF2CD2" w:rsidRPr="00DA7CB2" w:rsidRDefault="00290FA5" w:rsidP="00DA7CB2">
            <w:pPr>
              <w:widowControl w:val="0"/>
              <w:ind w:firstLine="199"/>
              <w:jc w:val="both"/>
              <w:rPr>
                <w:color w:val="000000"/>
              </w:rPr>
            </w:pPr>
            <w:r>
              <w:rPr>
                <w:color w:val="000000"/>
              </w:rPr>
              <w:t>в) інформація про реквізити банківського рахунку, за якими буде здійснюватися оплата за договором.</w:t>
            </w:r>
          </w:p>
        </w:tc>
      </w:tr>
      <w:tr w:rsidR="00EF2CD2">
        <w:trPr>
          <w:trHeight w:val="444"/>
        </w:trPr>
        <w:tc>
          <w:tcPr>
            <w:tcW w:w="567" w:type="dxa"/>
            <w:tcBorders>
              <w:top w:val="single" w:sz="4" w:space="0" w:color="000000"/>
              <w:left w:val="single" w:sz="4" w:space="0" w:color="000000"/>
              <w:bottom w:val="single" w:sz="4" w:space="0" w:color="000000"/>
            </w:tcBorders>
          </w:tcPr>
          <w:p w:rsidR="00EF2CD2" w:rsidRDefault="00290FA5">
            <w:pPr>
              <w:widowControl w:val="0"/>
              <w:jc w:val="center"/>
              <w:rPr>
                <w:b/>
                <w:color w:val="000000"/>
              </w:rPr>
            </w:pPr>
            <w:r>
              <w:rPr>
                <w:b/>
                <w:color w:val="000000"/>
              </w:rPr>
              <w:t>3.</w:t>
            </w:r>
          </w:p>
        </w:tc>
        <w:tc>
          <w:tcPr>
            <w:tcW w:w="2552" w:type="dxa"/>
            <w:tcBorders>
              <w:top w:val="single" w:sz="4" w:space="0" w:color="000000"/>
              <w:left w:val="single" w:sz="4" w:space="0" w:color="000000"/>
              <w:bottom w:val="single" w:sz="4" w:space="0" w:color="000000"/>
            </w:tcBorders>
          </w:tcPr>
          <w:p w:rsidR="00EF2CD2" w:rsidRDefault="00290FA5">
            <w:pPr>
              <w:widowControl w:val="0"/>
              <w:rPr>
                <w:color w:val="000000"/>
              </w:rPr>
            </w:pPr>
            <w:r>
              <w:rPr>
                <w:color w:val="000000"/>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tcPr>
          <w:p w:rsidR="00EF2CD2" w:rsidRPr="002A45A3" w:rsidRDefault="00290FA5">
            <w:pPr>
              <w:widowControl w:val="0"/>
              <w:jc w:val="both"/>
              <w:rPr>
                <w:color w:val="000000"/>
              </w:rPr>
            </w:pPr>
            <w:r w:rsidRPr="002A45A3">
              <w:rPr>
                <w:color w:val="000000"/>
              </w:rPr>
              <w:t>Проєкт договору про закупівлю згідно Додатку №5 (подається учасником в окремому файлі)</w:t>
            </w:r>
          </w:p>
        </w:tc>
      </w:tr>
      <w:tr w:rsidR="00EF2CD2">
        <w:trPr>
          <w:trHeight w:val="444"/>
        </w:trPr>
        <w:tc>
          <w:tcPr>
            <w:tcW w:w="567" w:type="dxa"/>
            <w:tcBorders>
              <w:top w:val="single" w:sz="4" w:space="0" w:color="000000"/>
              <w:left w:val="single" w:sz="4" w:space="0" w:color="000000"/>
              <w:bottom w:val="single" w:sz="4" w:space="0" w:color="000000"/>
            </w:tcBorders>
          </w:tcPr>
          <w:p w:rsidR="00EF2CD2" w:rsidRDefault="00290FA5">
            <w:pPr>
              <w:widowControl w:val="0"/>
              <w:jc w:val="center"/>
              <w:rPr>
                <w:b/>
                <w:color w:val="000000"/>
              </w:rPr>
            </w:pPr>
            <w:r>
              <w:rPr>
                <w:b/>
                <w:color w:val="000000"/>
              </w:rPr>
              <w:t>4.</w:t>
            </w:r>
          </w:p>
        </w:tc>
        <w:tc>
          <w:tcPr>
            <w:tcW w:w="2552" w:type="dxa"/>
            <w:tcBorders>
              <w:top w:val="single" w:sz="4" w:space="0" w:color="000000"/>
              <w:left w:val="single" w:sz="4" w:space="0" w:color="000000"/>
              <w:bottom w:val="single" w:sz="4" w:space="0" w:color="000000"/>
            </w:tcBorders>
          </w:tcPr>
          <w:p w:rsidR="00EF2CD2" w:rsidRDefault="00290FA5">
            <w:pPr>
              <w:widowControl w:val="0"/>
              <w:rPr>
                <w:color w:val="000000"/>
              </w:rPr>
            </w:pPr>
            <w:r>
              <w:rPr>
                <w:color w:val="000000"/>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rsidR="00EF2CD2" w:rsidRPr="002A45A3" w:rsidRDefault="00290FA5">
            <w:pPr>
              <w:widowControl w:val="0"/>
              <w:jc w:val="both"/>
              <w:rPr>
                <w:color w:val="000000"/>
              </w:rPr>
            </w:pPr>
            <w:r w:rsidRPr="002A45A3">
              <w:rPr>
                <w:color w:val="000000"/>
              </w:rPr>
              <w:t xml:space="preserve">Довідка в довільній формі або відповідно до взірця, що </w:t>
            </w:r>
          </w:p>
          <w:p w:rsidR="00EF2CD2" w:rsidRPr="002A45A3" w:rsidRDefault="00290FA5">
            <w:pPr>
              <w:widowControl w:val="0"/>
              <w:jc w:val="both"/>
              <w:rPr>
                <w:color w:val="000000"/>
              </w:rPr>
            </w:pPr>
            <w:r w:rsidRPr="002A45A3">
              <w:rPr>
                <w:color w:val="000000"/>
              </w:rPr>
              <w:t>наведений в Додатку №3 до даної документації, повинна бути підписана особою, яка підписує тендерну пропозицію та уповноважена на підписання договору про закупівлю.</w:t>
            </w:r>
          </w:p>
        </w:tc>
      </w:tr>
      <w:tr w:rsidR="00EF2CD2">
        <w:trPr>
          <w:trHeight w:val="444"/>
        </w:trPr>
        <w:tc>
          <w:tcPr>
            <w:tcW w:w="567" w:type="dxa"/>
            <w:tcBorders>
              <w:top w:val="single" w:sz="4" w:space="0" w:color="000000"/>
              <w:left w:val="single" w:sz="4" w:space="0" w:color="000000"/>
              <w:bottom w:val="single" w:sz="4" w:space="0" w:color="000000"/>
            </w:tcBorders>
          </w:tcPr>
          <w:p w:rsidR="00EF2CD2" w:rsidRDefault="00290FA5">
            <w:pPr>
              <w:widowControl w:val="0"/>
              <w:jc w:val="center"/>
              <w:rPr>
                <w:b/>
                <w:color w:val="000000"/>
              </w:rPr>
            </w:pPr>
            <w:r>
              <w:rPr>
                <w:b/>
                <w:color w:val="000000"/>
              </w:rPr>
              <w:lastRenderedPageBreak/>
              <w:t>5.</w:t>
            </w:r>
          </w:p>
        </w:tc>
        <w:tc>
          <w:tcPr>
            <w:tcW w:w="2552" w:type="dxa"/>
            <w:tcBorders>
              <w:top w:val="single" w:sz="4" w:space="0" w:color="000000"/>
              <w:left w:val="single" w:sz="4" w:space="0" w:color="000000"/>
              <w:bottom w:val="single" w:sz="4" w:space="0" w:color="000000"/>
            </w:tcBorders>
          </w:tcPr>
          <w:p w:rsidR="00EF2CD2" w:rsidRDefault="00290FA5">
            <w:pPr>
              <w:widowControl w:val="0"/>
              <w:rPr>
                <w:color w:val="000000"/>
              </w:rPr>
            </w:pPr>
            <w:r>
              <w:rPr>
                <w:color w:val="000000"/>
              </w:rPr>
              <w:t xml:space="preserve">Надання </w:t>
            </w:r>
            <w:r>
              <w:t>заповненої форми “ЦІНОВА ПРОПОЗИЦІЯ”</w:t>
            </w:r>
          </w:p>
        </w:tc>
        <w:tc>
          <w:tcPr>
            <w:tcW w:w="6946" w:type="dxa"/>
            <w:tcBorders>
              <w:top w:val="single" w:sz="4" w:space="0" w:color="000000"/>
              <w:left w:val="single" w:sz="4" w:space="0" w:color="000000"/>
              <w:bottom w:val="single" w:sz="4" w:space="0" w:color="000000"/>
              <w:right w:val="single" w:sz="4" w:space="0" w:color="000000"/>
            </w:tcBorders>
          </w:tcPr>
          <w:p w:rsidR="00EF2CD2" w:rsidRPr="002A45A3" w:rsidRDefault="00290FA5">
            <w:pPr>
              <w:widowControl w:val="0"/>
              <w:jc w:val="both"/>
              <w:rPr>
                <w:color w:val="000000"/>
              </w:rPr>
            </w:pPr>
            <w:r w:rsidRPr="002A45A3">
              <w:t>Форма  заповнюється згідно з Додатком №4 до тендерної документації</w:t>
            </w:r>
          </w:p>
        </w:tc>
      </w:tr>
      <w:tr w:rsidR="00EF2CD2">
        <w:trPr>
          <w:trHeight w:val="444"/>
        </w:trPr>
        <w:tc>
          <w:tcPr>
            <w:tcW w:w="567" w:type="dxa"/>
            <w:tcBorders>
              <w:top w:val="single" w:sz="4" w:space="0" w:color="000000"/>
              <w:left w:val="single" w:sz="4" w:space="0" w:color="000000"/>
              <w:bottom w:val="single" w:sz="4" w:space="0" w:color="000000"/>
            </w:tcBorders>
          </w:tcPr>
          <w:p w:rsidR="00EF2CD2" w:rsidRDefault="00290FA5">
            <w:pPr>
              <w:widowControl w:val="0"/>
              <w:jc w:val="center"/>
              <w:rPr>
                <w:b/>
                <w:color w:val="000000"/>
              </w:rPr>
            </w:pPr>
            <w:r>
              <w:rPr>
                <w:b/>
                <w:color w:val="000000"/>
              </w:rPr>
              <w:t>6.</w:t>
            </w:r>
          </w:p>
        </w:tc>
        <w:tc>
          <w:tcPr>
            <w:tcW w:w="2552" w:type="dxa"/>
            <w:tcBorders>
              <w:top w:val="single" w:sz="4" w:space="0" w:color="000000"/>
              <w:left w:val="single" w:sz="4" w:space="0" w:color="000000"/>
              <w:bottom w:val="single" w:sz="4" w:space="0" w:color="000000"/>
            </w:tcBorders>
          </w:tcPr>
          <w:p w:rsidR="00EF2CD2" w:rsidRDefault="00290FA5">
            <w:pPr>
              <w:widowControl w:val="0"/>
              <w:rPr>
                <w:color w:val="000000"/>
              </w:rPr>
            </w:pPr>
            <w:r>
              <w:rPr>
                <w:color w:val="000000"/>
              </w:rPr>
              <w:t>Інші документи</w:t>
            </w:r>
          </w:p>
        </w:tc>
        <w:tc>
          <w:tcPr>
            <w:tcW w:w="6946"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both"/>
            </w:pPr>
            <w:r>
              <w:t>- лист у довільній формі, в якому учасник гарантує, що передбачає застосування заходів із захисту довкілля (застосування екологічно безпечних матеріалів та/або зазначити інші заходи);</w:t>
            </w:r>
          </w:p>
          <w:p w:rsidR="00EF2CD2" w:rsidRDefault="00290FA5">
            <w:pPr>
              <w:widowControl w:val="0"/>
              <w:jc w:val="both"/>
            </w:pPr>
            <w:r>
              <w:rPr>
                <w:b/>
              </w:rPr>
              <w:t xml:space="preserve">- </w:t>
            </w:r>
            <w:r w:rsidRPr="00A80C88">
              <w:t>лист-гарантія, який</w:t>
            </w:r>
            <w:r>
              <w:t xml:space="preserve">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rsidR="00EF2CD2" w:rsidRDefault="00290FA5">
            <w:pPr>
              <w:widowControl w:val="0"/>
              <w:jc w:val="both"/>
            </w:pPr>
            <w: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C7E78">
        <w:trPr>
          <w:trHeight w:val="444"/>
        </w:trPr>
        <w:tc>
          <w:tcPr>
            <w:tcW w:w="567" w:type="dxa"/>
            <w:tcBorders>
              <w:top w:val="single" w:sz="4" w:space="0" w:color="000000"/>
              <w:left w:val="single" w:sz="4" w:space="0" w:color="000000"/>
              <w:bottom w:val="single" w:sz="4" w:space="0" w:color="000000"/>
            </w:tcBorders>
          </w:tcPr>
          <w:p w:rsidR="008C7E78" w:rsidRDefault="008C7E78">
            <w:pPr>
              <w:widowControl w:val="0"/>
              <w:jc w:val="center"/>
              <w:rPr>
                <w:b/>
                <w:color w:val="000000"/>
              </w:rPr>
            </w:pPr>
          </w:p>
        </w:tc>
        <w:tc>
          <w:tcPr>
            <w:tcW w:w="2552" w:type="dxa"/>
            <w:tcBorders>
              <w:top w:val="single" w:sz="4" w:space="0" w:color="000000"/>
              <w:left w:val="single" w:sz="4" w:space="0" w:color="000000"/>
              <w:bottom w:val="single" w:sz="4" w:space="0" w:color="000000"/>
            </w:tcBorders>
          </w:tcPr>
          <w:p w:rsidR="008C7E78" w:rsidRDefault="008C7E78">
            <w:pPr>
              <w:widowControl w:val="0"/>
              <w:rPr>
                <w:color w:val="000000"/>
              </w:rPr>
            </w:pPr>
          </w:p>
        </w:tc>
        <w:tc>
          <w:tcPr>
            <w:tcW w:w="6946" w:type="dxa"/>
            <w:tcBorders>
              <w:top w:val="single" w:sz="4" w:space="0" w:color="000000"/>
              <w:left w:val="single" w:sz="4" w:space="0" w:color="000000"/>
              <w:bottom w:val="single" w:sz="4" w:space="0" w:color="000000"/>
              <w:right w:val="single" w:sz="4" w:space="0" w:color="000000"/>
            </w:tcBorders>
          </w:tcPr>
          <w:p w:rsidR="008C7E78" w:rsidRDefault="008C7E78">
            <w:pPr>
              <w:widowControl w:val="0"/>
              <w:jc w:val="both"/>
            </w:pPr>
          </w:p>
        </w:tc>
      </w:tr>
    </w:tbl>
    <w:p w:rsidR="00364783" w:rsidRDefault="00364783" w:rsidP="00364783">
      <w:pPr>
        <w:jc w:val="both"/>
        <w:rPr>
          <w:i/>
          <w:color w:val="000000"/>
          <w:highlight w:val="yellow"/>
        </w:rPr>
      </w:pPr>
      <w:bookmarkStart w:id="0" w:name="_GoBack"/>
      <w:bookmarkEnd w:id="0"/>
    </w:p>
    <w:p w:rsidR="008C7E78" w:rsidRDefault="008C7E78">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p w:rsidR="009A3B71" w:rsidRDefault="009A3B71">
      <w:pPr>
        <w:jc w:val="right"/>
        <w:rPr>
          <w:b/>
        </w:rPr>
      </w:pPr>
    </w:p>
    <w:sectPr w:rsidR="009A3B71" w:rsidSect="0052460B">
      <w:headerReference w:type="even" r:id="rId10"/>
      <w:headerReference w:type="default" r:id="rId11"/>
      <w:footerReference w:type="even" r:id="rId12"/>
      <w:footerReference w:type="default" r:id="rId13"/>
      <w:headerReference w:type="first" r:id="rId14"/>
      <w:footerReference w:type="first" r:id="rId15"/>
      <w:pgSz w:w="11904" w:h="16834"/>
      <w:pgMar w:top="850" w:right="850" w:bottom="567" w:left="1134" w:header="709" w:footer="1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FA" w:rsidRDefault="00F675FA">
      <w:r>
        <w:separator/>
      </w:r>
    </w:p>
  </w:endnote>
  <w:endnote w:type="continuationSeparator" w:id="0">
    <w:p w:rsidR="00F675FA" w:rsidRDefault="00F6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FA" w:rsidRDefault="00F675FA">
      <w:r>
        <w:separator/>
      </w:r>
    </w:p>
  </w:footnote>
  <w:footnote w:type="continuationSeparator" w:id="0">
    <w:p w:rsidR="00F675FA" w:rsidRDefault="00F6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CC34E2" w:rsidRDefault="00CC34E2">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45E43CB"/>
    <w:multiLevelType w:val="multilevel"/>
    <w:tmpl w:val="012E8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5"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9"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9"/>
  </w:num>
  <w:num w:numId="3">
    <w:abstractNumId w:val="16"/>
  </w:num>
  <w:num w:numId="4">
    <w:abstractNumId w:val="3"/>
  </w:num>
  <w:num w:numId="5">
    <w:abstractNumId w:val="15"/>
  </w:num>
  <w:num w:numId="6">
    <w:abstractNumId w:val="17"/>
  </w:num>
  <w:num w:numId="7">
    <w:abstractNumId w:val="0"/>
  </w:num>
  <w:num w:numId="8">
    <w:abstractNumId w:val="5"/>
  </w:num>
  <w:num w:numId="9">
    <w:abstractNumId w:val="7"/>
  </w:num>
  <w:num w:numId="10">
    <w:abstractNumId w:val="10"/>
  </w:num>
  <w:num w:numId="11">
    <w:abstractNumId w:val="12"/>
  </w:num>
  <w:num w:numId="12">
    <w:abstractNumId w:val="4"/>
  </w:num>
  <w:num w:numId="13">
    <w:abstractNumId w:val="18"/>
  </w:num>
  <w:num w:numId="14">
    <w:abstractNumId w:val="8"/>
  </w:num>
  <w:num w:numId="15">
    <w:abstractNumId w:val="13"/>
  </w:num>
  <w:num w:numId="16">
    <w:abstractNumId w:val="1"/>
  </w:num>
  <w:num w:numId="17">
    <w:abstractNumId w:val="6"/>
  </w:num>
  <w:num w:numId="18">
    <w:abstractNumId w:val="2"/>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145B6"/>
    <w:rsid w:val="000219A3"/>
    <w:rsid w:val="0002362B"/>
    <w:rsid w:val="00023CE8"/>
    <w:rsid w:val="00024AA1"/>
    <w:rsid w:val="000426CB"/>
    <w:rsid w:val="000435F2"/>
    <w:rsid w:val="0004452D"/>
    <w:rsid w:val="00046CBE"/>
    <w:rsid w:val="0006018E"/>
    <w:rsid w:val="00063B2E"/>
    <w:rsid w:val="00065565"/>
    <w:rsid w:val="000731D2"/>
    <w:rsid w:val="00091148"/>
    <w:rsid w:val="000A22DF"/>
    <w:rsid w:val="000A386F"/>
    <w:rsid w:val="000A49F2"/>
    <w:rsid w:val="000A6055"/>
    <w:rsid w:val="000B3456"/>
    <w:rsid w:val="000B5C06"/>
    <w:rsid w:val="000F0D5A"/>
    <w:rsid w:val="000F4098"/>
    <w:rsid w:val="00103B27"/>
    <w:rsid w:val="001063F8"/>
    <w:rsid w:val="0011243A"/>
    <w:rsid w:val="00113E58"/>
    <w:rsid w:val="00115132"/>
    <w:rsid w:val="00115FF9"/>
    <w:rsid w:val="00120E16"/>
    <w:rsid w:val="00124E9B"/>
    <w:rsid w:val="001259E4"/>
    <w:rsid w:val="001344B1"/>
    <w:rsid w:val="00136D28"/>
    <w:rsid w:val="00142472"/>
    <w:rsid w:val="001531F3"/>
    <w:rsid w:val="00172BC1"/>
    <w:rsid w:val="00174ADF"/>
    <w:rsid w:val="00186B23"/>
    <w:rsid w:val="001873B5"/>
    <w:rsid w:val="0019069D"/>
    <w:rsid w:val="001A55A1"/>
    <w:rsid w:val="001B08E5"/>
    <w:rsid w:val="001B40A8"/>
    <w:rsid w:val="001B6447"/>
    <w:rsid w:val="001C5B3B"/>
    <w:rsid w:val="001D7654"/>
    <w:rsid w:val="001D7F40"/>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BE9"/>
    <w:rsid w:val="002F1486"/>
    <w:rsid w:val="002F4972"/>
    <w:rsid w:val="00315547"/>
    <w:rsid w:val="00330370"/>
    <w:rsid w:val="0033639E"/>
    <w:rsid w:val="00340DF6"/>
    <w:rsid w:val="00351FCC"/>
    <w:rsid w:val="00352F18"/>
    <w:rsid w:val="0035753F"/>
    <w:rsid w:val="00364783"/>
    <w:rsid w:val="003670EA"/>
    <w:rsid w:val="00372875"/>
    <w:rsid w:val="00373534"/>
    <w:rsid w:val="00375A4A"/>
    <w:rsid w:val="00376DD4"/>
    <w:rsid w:val="00380E2E"/>
    <w:rsid w:val="00383459"/>
    <w:rsid w:val="00387312"/>
    <w:rsid w:val="00387E79"/>
    <w:rsid w:val="0039451B"/>
    <w:rsid w:val="003B477B"/>
    <w:rsid w:val="003D192D"/>
    <w:rsid w:val="003E0A3F"/>
    <w:rsid w:val="003E6009"/>
    <w:rsid w:val="003F2046"/>
    <w:rsid w:val="003F525F"/>
    <w:rsid w:val="003F6B61"/>
    <w:rsid w:val="00400301"/>
    <w:rsid w:val="00400828"/>
    <w:rsid w:val="00421DD9"/>
    <w:rsid w:val="004229EE"/>
    <w:rsid w:val="00435962"/>
    <w:rsid w:val="00443B98"/>
    <w:rsid w:val="00444322"/>
    <w:rsid w:val="004453A3"/>
    <w:rsid w:val="0045142F"/>
    <w:rsid w:val="00451688"/>
    <w:rsid w:val="00452A95"/>
    <w:rsid w:val="00454E28"/>
    <w:rsid w:val="004568D8"/>
    <w:rsid w:val="0046030E"/>
    <w:rsid w:val="00472CC8"/>
    <w:rsid w:val="004805ED"/>
    <w:rsid w:val="004875A7"/>
    <w:rsid w:val="0049195A"/>
    <w:rsid w:val="004929BE"/>
    <w:rsid w:val="004A1846"/>
    <w:rsid w:val="004A1E80"/>
    <w:rsid w:val="004A52AE"/>
    <w:rsid w:val="004B7F3F"/>
    <w:rsid w:val="004C1332"/>
    <w:rsid w:val="004D155C"/>
    <w:rsid w:val="004D36C3"/>
    <w:rsid w:val="004E552F"/>
    <w:rsid w:val="00506969"/>
    <w:rsid w:val="0051467B"/>
    <w:rsid w:val="00524430"/>
    <w:rsid w:val="0052460B"/>
    <w:rsid w:val="0053366F"/>
    <w:rsid w:val="00540190"/>
    <w:rsid w:val="005411AE"/>
    <w:rsid w:val="00546EAA"/>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2554B"/>
    <w:rsid w:val="006332FB"/>
    <w:rsid w:val="0063662F"/>
    <w:rsid w:val="00637AB6"/>
    <w:rsid w:val="00644649"/>
    <w:rsid w:val="00646552"/>
    <w:rsid w:val="00650480"/>
    <w:rsid w:val="00652B0F"/>
    <w:rsid w:val="00654A85"/>
    <w:rsid w:val="00667109"/>
    <w:rsid w:val="00671805"/>
    <w:rsid w:val="00693B1B"/>
    <w:rsid w:val="006A0054"/>
    <w:rsid w:val="006A3581"/>
    <w:rsid w:val="006C027B"/>
    <w:rsid w:val="006D655F"/>
    <w:rsid w:val="00706565"/>
    <w:rsid w:val="00710C7D"/>
    <w:rsid w:val="00715216"/>
    <w:rsid w:val="00721921"/>
    <w:rsid w:val="0072231B"/>
    <w:rsid w:val="007261E1"/>
    <w:rsid w:val="00730138"/>
    <w:rsid w:val="00731C86"/>
    <w:rsid w:val="0073433E"/>
    <w:rsid w:val="00755064"/>
    <w:rsid w:val="007553E2"/>
    <w:rsid w:val="00756A51"/>
    <w:rsid w:val="00756CD6"/>
    <w:rsid w:val="00760F01"/>
    <w:rsid w:val="0076167E"/>
    <w:rsid w:val="00764779"/>
    <w:rsid w:val="00767563"/>
    <w:rsid w:val="007677FA"/>
    <w:rsid w:val="0077331A"/>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3433"/>
    <w:rsid w:val="008875D5"/>
    <w:rsid w:val="008A0D60"/>
    <w:rsid w:val="008B0389"/>
    <w:rsid w:val="008B4418"/>
    <w:rsid w:val="008C7E78"/>
    <w:rsid w:val="008D2F96"/>
    <w:rsid w:val="008E7F9F"/>
    <w:rsid w:val="008F26D9"/>
    <w:rsid w:val="009057BB"/>
    <w:rsid w:val="00907C17"/>
    <w:rsid w:val="00923EF5"/>
    <w:rsid w:val="00942E52"/>
    <w:rsid w:val="00942EAB"/>
    <w:rsid w:val="00945A39"/>
    <w:rsid w:val="00947230"/>
    <w:rsid w:val="009520FF"/>
    <w:rsid w:val="009524F7"/>
    <w:rsid w:val="00954939"/>
    <w:rsid w:val="00954BF0"/>
    <w:rsid w:val="009607AF"/>
    <w:rsid w:val="00975B65"/>
    <w:rsid w:val="009764CB"/>
    <w:rsid w:val="00976EF1"/>
    <w:rsid w:val="009876BE"/>
    <w:rsid w:val="0099129C"/>
    <w:rsid w:val="009A2EB7"/>
    <w:rsid w:val="009A35F6"/>
    <w:rsid w:val="009A38A0"/>
    <w:rsid w:val="009A3B71"/>
    <w:rsid w:val="009A445D"/>
    <w:rsid w:val="009A499F"/>
    <w:rsid w:val="009A6DB7"/>
    <w:rsid w:val="009B1505"/>
    <w:rsid w:val="009B1A50"/>
    <w:rsid w:val="009B38BD"/>
    <w:rsid w:val="009B4822"/>
    <w:rsid w:val="009B572E"/>
    <w:rsid w:val="009B7DFC"/>
    <w:rsid w:val="009C4120"/>
    <w:rsid w:val="009D493A"/>
    <w:rsid w:val="009E450A"/>
    <w:rsid w:val="009F0661"/>
    <w:rsid w:val="00A07E2F"/>
    <w:rsid w:val="00A15D16"/>
    <w:rsid w:val="00A437AE"/>
    <w:rsid w:val="00A45952"/>
    <w:rsid w:val="00A6136F"/>
    <w:rsid w:val="00A712F0"/>
    <w:rsid w:val="00A77DAD"/>
    <w:rsid w:val="00A80C88"/>
    <w:rsid w:val="00A8227A"/>
    <w:rsid w:val="00A8288A"/>
    <w:rsid w:val="00A8753A"/>
    <w:rsid w:val="00A920D9"/>
    <w:rsid w:val="00AB236E"/>
    <w:rsid w:val="00AB3733"/>
    <w:rsid w:val="00AC3ACE"/>
    <w:rsid w:val="00AC44B5"/>
    <w:rsid w:val="00AC70B2"/>
    <w:rsid w:val="00AD064B"/>
    <w:rsid w:val="00AD7804"/>
    <w:rsid w:val="00AF1B47"/>
    <w:rsid w:val="00B00B00"/>
    <w:rsid w:val="00B05C5E"/>
    <w:rsid w:val="00B05DFF"/>
    <w:rsid w:val="00B169C9"/>
    <w:rsid w:val="00B20A04"/>
    <w:rsid w:val="00B24D4D"/>
    <w:rsid w:val="00B26E57"/>
    <w:rsid w:val="00B32D4F"/>
    <w:rsid w:val="00B37B17"/>
    <w:rsid w:val="00B51606"/>
    <w:rsid w:val="00B56AA1"/>
    <w:rsid w:val="00B74150"/>
    <w:rsid w:val="00BA08E7"/>
    <w:rsid w:val="00BA1B40"/>
    <w:rsid w:val="00BA7249"/>
    <w:rsid w:val="00BB177F"/>
    <w:rsid w:val="00BB1963"/>
    <w:rsid w:val="00BC1AA1"/>
    <w:rsid w:val="00BE5E04"/>
    <w:rsid w:val="00BE5E9C"/>
    <w:rsid w:val="00BF14F4"/>
    <w:rsid w:val="00BF7984"/>
    <w:rsid w:val="00C02758"/>
    <w:rsid w:val="00C051CA"/>
    <w:rsid w:val="00C133E9"/>
    <w:rsid w:val="00C21796"/>
    <w:rsid w:val="00C27A82"/>
    <w:rsid w:val="00C422C4"/>
    <w:rsid w:val="00C54EDC"/>
    <w:rsid w:val="00C617AB"/>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E0EFB"/>
    <w:rsid w:val="00CE1315"/>
    <w:rsid w:val="00D01263"/>
    <w:rsid w:val="00D01626"/>
    <w:rsid w:val="00D17C98"/>
    <w:rsid w:val="00D214F2"/>
    <w:rsid w:val="00D331E3"/>
    <w:rsid w:val="00D64A1A"/>
    <w:rsid w:val="00D65127"/>
    <w:rsid w:val="00D66804"/>
    <w:rsid w:val="00D866BC"/>
    <w:rsid w:val="00D966DA"/>
    <w:rsid w:val="00DA0087"/>
    <w:rsid w:val="00DA7CB2"/>
    <w:rsid w:val="00DB3351"/>
    <w:rsid w:val="00DC5FFD"/>
    <w:rsid w:val="00DC60CB"/>
    <w:rsid w:val="00DD1D80"/>
    <w:rsid w:val="00DD3B2A"/>
    <w:rsid w:val="00DD7DED"/>
    <w:rsid w:val="00DE2120"/>
    <w:rsid w:val="00DE6994"/>
    <w:rsid w:val="00E049E0"/>
    <w:rsid w:val="00E5095D"/>
    <w:rsid w:val="00E50D6E"/>
    <w:rsid w:val="00E53A7F"/>
    <w:rsid w:val="00E54355"/>
    <w:rsid w:val="00E5532C"/>
    <w:rsid w:val="00E553CE"/>
    <w:rsid w:val="00E64D83"/>
    <w:rsid w:val="00E863AE"/>
    <w:rsid w:val="00E915D0"/>
    <w:rsid w:val="00E970E6"/>
    <w:rsid w:val="00EA5DDF"/>
    <w:rsid w:val="00EA7CEA"/>
    <w:rsid w:val="00EB2CB7"/>
    <w:rsid w:val="00EC4ECA"/>
    <w:rsid w:val="00EC5B88"/>
    <w:rsid w:val="00EE76F0"/>
    <w:rsid w:val="00EE79B4"/>
    <w:rsid w:val="00EF2CD2"/>
    <w:rsid w:val="00EF5417"/>
    <w:rsid w:val="00EF6AB2"/>
    <w:rsid w:val="00F03496"/>
    <w:rsid w:val="00F07E0D"/>
    <w:rsid w:val="00F22F52"/>
    <w:rsid w:val="00F30860"/>
    <w:rsid w:val="00F33668"/>
    <w:rsid w:val="00F33E2E"/>
    <w:rsid w:val="00F40AD7"/>
    <w:rsid w:val="00F436E9"/>
    <w:rsid w:val="00F45CA1"/>
    <w:rsid w:val="00F510AE"/>
    <w:rsid w:val="00F528D8"/>
    <w:rsid w:val="00F52C1C"/>
    <w:rsid w:val="00F6716F"/>
    <w:rsid w:val="00F675FA"/>
    <w:rsid w:val="00F8525E"/>
    <w:rsid w:val="00F86343"/>
    <w:rsid w:val="00F90947"/>
    <w:rsid w:val="00F92E37"/>
    <w:rsid w:val="00F92F75"/>
    <w:rsid w:val="00F97556"/>
    <w:rsid w:val="00FA6A06"/>
    <w:rsid w:val="00FA75F4"/>
    <w:rsid w:val="00FB1349"/>
    <w:rsid w:val="00FB13BF"/>
    <w:rsid w:val="00FB2AFD"/>
    <w:rsid w:val="00FC382B"/>
    <w:rsid w:val="00FC630D"/>
    <w:rsid w:val="00FC7A99"/>
    <w:rsid w:val="00FD280B"/>
    <w:rsid w:val="00FD795C"/>
    <w:rsid w:val="00FD7FC2"/>
    <w:rsid w:val="00FE0AA5"/>
    <w:rsid w:val="00FE4091"/>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589F"/>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888">
      <w:bodyDiv w:val="1"/>
      <w:marLeft w:val="0"/>
      <w:marRight w:val="0"/>
      <w:marTop w:val="0"/>
      <w:marBottom w:val="0"/>
      <w:divBdr>
        <w:top w:val="none" w:sz="0" w:space="0" w:color="auto"/>
        <w:left w:val="none" w:sz="0" w:space="0" w:color="auto"/>
        <w:bottom w:val="none" w:sz="0" w:space="0" w:color="auto"/>
        <w:right w:val="none" w:sz="0" w:space="0" w:color="auto"/>
      </w:divBdr>
    </w:div>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37762?ed=2022_03_30&amp;an=1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re37762?ed=2022_03_30&amp;an=13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9CD0-A848-4B5A-8854-E239779E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2695</Words>
  <Characters>15365</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51</cp:revision>
  <dcterms:created xsi:type="dcterms:W3CDTF">2023-11-01T11:16:00Z</dcterms:created>
  <dcterms:modified xsi:type="dcterms:W3CDTF">2023-11-16T07:06:00Z</dcterms:modified>
</cp:coreProperties>
</file>