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</w:rPr>
        <w:t xml:space="preserve">Додаток </w:t>
      </w:r>
      <w:r>
        <w:rPr>
          <w:rFonts w:cs="Times New Roman" w:ascii="Times New Roman" w:hAnsi="Times New Roman"/>
          <w:b/>
          <w:bCs/>
          <w:lang w:val="uk-UA"/>
        </w:rPr>
        <w:t>2</w:t>
      </w:r>
      <w:r>
        <w:rPr>
          <w:rFonts w:cs="Times New Roman" w:ascii="Times New Roman" w:hAnsi="Times New Roman"/>
          <w:b/>
          <w:bCs/>
        </w:rPr>
        <w:t xml:space="preserve"> до тендерної документації</w:t>
      </w:r>
      <w:r>
        <w:rPr>
          <w:rFonts w:cs="Times New Roman" w:ascii="Times New Roman" w:hAnsi="Times New Roman"/>
          <w:b/>
          <w:bCs/>
          <w:lang w:val="uk-UA"/>
        </w:rPr>
        <w:t xml:space="preserve">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lang w:val="uk-UA"/>
        </w:rPr>
        <w:t>у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процедурі закупівлі “відкриті торги з особливостями” по об’єкту «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>П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ослуги з технічного обслуговування та поточного ремонту службових автомобілів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якісні, кількісні та інші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характеристики предмета закупівлі.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Предметом даної закупівлі є послуги з технічного обслуговування та поточного ремонту службових автомобілів замовника: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SKODA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SUPERB</w:t>
      </w:r>
      <w:r>
        <w:rPr>
          <w:rFonts w:ascii="Times New Roman" w:hAnsi="Times New Roman"/>
          <w:sz w:val="24"/>
          <w:szCs w:val="24"/>
          <w:lang w:val="uk-UA"/>
        </w:rPr>
        <w:t>, 2006 року випуску, реєстраційний номер ВХ9359АІ;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CHERY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TIGGO</w:t>
      </w:r>
      <w:r>
        <w:rPr>
          <w:rFonts w:ascii="Times New Roman" w:hAnsi="Times New Roman"/>
          <w:sz w:val="24"/>
          <w:szCs w:val="24"/>
          <w:lang w:val="uk-UA"/>
        </w:rPr>
        <w:t xml:space="preserve"> 2, 2018 року випуску, реєстраційний номер ВХ7912СЕ;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FORD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TRANSIT</w:t>
      </w:r>
      <w:r>
        <w:rPr>
          <w:rFonts w:ascii="Times New Roman" w:hAnsi="Times New Roman"/>
          <w:sz w:val="24"/>
          <w:szCs w:val="24"/>
          <w:lang w:val="uk-UA"/>
        </w:rPr>
        <w:t>, 2017 року випуску, реєстраційний номер ВХ8517СВ;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CHERY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AMULET</w:t>
      </w:r>
      <w:r>
        <w:rPr>
          <w:rFonts w:ascii="Times New Roman" w:hAnsi="Times New Roman"/>
          <w:sz w:val="24"/>
          <w:szCs w:val="24"/>
          <w:lang w:val="uk-UA"/>
        </w:rPr>
        <w:t>, 2006 року випуску, реєстраційний номер ВХ1261АМ;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GEELY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  <w:lang w:val="uk-UA"/>
        </w:rPr>
        <w:t>, 2012 року випуску, реєстраційний номер ВХ0741ВК;</w:t>
      </w:r>
    </w:p>
    <w:p>
      <w:pPr>
        <w:pStyle w:val="HTMLPreformatted"/>
        <w:widowControl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 інші, у разі їх придбання протягом дії договору.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Послуги надаватимуться відповідно до фактичної потреби замовника, але не більше суми, зазначеної в пропозиції учасника.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Надання послуг повинно здійснюватися з додержанням вимог наступних нормативно-правових актів: 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закону України «Про автомобільний транспорт»; 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  <w:t xml:space="preserve">- наказу Міністерства інфраструктури України від 28 листопада 2014 № 615 «Про затвердження Правил надання послуг з технічного обслуговування і ремонту колісних транспортних засобів»; </w:t>
      </w:r>
    </w:p>
    <w:p>
      <w:pPr>
        <w:pStyle w:val="Normal"/>
        <w:spacing w:lineRule="auto" w:line="240" w:before="0" w:after="0"/>
        <w:ind w:right="5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 xml:space="preserve">- наказу Міністерства інфраструктури України від 15 лютого 2012 року № 106 «Про затвердження Технологічних вимог до засобів перевірки технічного стану, обслуговування і ремонту колісного транспортного засобу»; </w:t>
      </w:r>
    </w:p>
    <w:p>
      <w:pPr>
        <w:pStyle w:val="Normal"/>
        <w:spacing w:lineRule="auto" w:line="240" w:before="0" w:after="0"/>
        <w:ind w:right="5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постанови КМУ від 03.07.2013 р. №643 «Про затвердження Технічного регламенту з технічного обслуговування і ремонту колісних транспортних засобів».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>. У зв’язку з тим, що на момент проведення закупівлі не можливо визначити конкретний перелік послуг та їх обсяг, а також кількість використаних при цьому запасних частин та агрегатів, замовник визначає орієнтовний перелік послуг: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ходової частини авто (підвіски);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перевірка компресії в циліндрах;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системи охолодження, вихлопної системи, трансмісії, стану рідини;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масла в двигуні, паливного фільтра, повітряного фільтра двигуна та/або салону;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антифризу рідини;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приводного ланцюга та/або паска;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водяної помпи;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термостата та/або масла в мості;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свічок запалювання та/або катушки запалення;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лампи;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переднього/заднього амортизатору;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шарової опори;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втулки стабілізатору;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стійки стабілізатору;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пружин підвіски, опори передньої стійки, підшипника ступиці, рульової тяги;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перепресування сайлентблоку;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сайлентблока задньої балки;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балки передньої підвіски та/або задньої підвіски;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верхнього важеля підвіски та/або задньої підвіски;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перепресування втулки важеля підвіски та/або сайлентблока;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ступиці колеса;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передньої півосі та/або тяги поперечної стійкості осі;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подушки двигуна;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двигуна;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головки блока двигуна та/або прокладки головки блоку;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помпи системи охолодження, піддону, термостату;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патрубків системи охолодження та/або радіатора системи охолодження;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масла МКПП;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МКПП;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зняття і встановлення МКПП;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комплекту зчеплення;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головного циліндра зчеплення та/або робочого циліндра зчеплення;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прокачування гідропроводу зчеплення;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демонтаж-монтаж форсунок;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форсунок;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демонтаж-монтаж баку;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демонтаж-монтаж стартера;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ремонт стартера;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демонтаж-монтаж генератора;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ремонт генератора;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гальмівної системи;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гальмівних трубок та шлангів;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передніх гальмівних колодок та/або задніх гальмівних колодок;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гальмівного барабана та/або гальмівних дисків;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барабанних колодок та/або гальмівного троса;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головного гальмівного циліндра та/або робочого гальмівного циліндра;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вакуумного підсилювача гальм;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супорта;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прокачування гальмівної системи;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гальмівної рідини;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 рульового керування;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рульової рейки;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насоса ГУР гідро під та/або масла ГУР гідро під;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рульової тяги та/або пильника рульової тяги;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наконечника рульової тяги;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шлангу високого тиску рульового та/або низького тиску рульового;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заміна рульової трапеції;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зварювальні роботи;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зварювальні послуги;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вирізання каталізатору;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ремонт вихлопної системи;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діагностика, ремонт, дозаправка кондиціонерів;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шиномонтажні роботи;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комп’ютерна діагностика;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регулювання ближнього/дальнього світла фар;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монтаж, демонтаж, заміна радіаторів системи охолодження;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тощо.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color w:val="auto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color w:val="auto"/>
          <w:sz w:val="24"/>
          <w:szCs w:val="24"/>
        </w:rPr>
        <w:t>Остаточний обсяг та к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 xml:space="preserve">онкретний перелік, вартість та термін виконання послуг, запасних частин та матеріалів, що надаються Замовнику, визначається </w:t>
      </w:r>
      <w:r>
        <w:rPr>
          <w:rFonts w:ascii="Times New Roman" w:hAnsi="Times New Roman"/>
          <w:color w:val="auto"/>
          <w:sz w:val="24"/>
          <w:szCs w:val="24"/>
          <w:lang w:val="uk-UA" w:eastAsia="uk-UA" w:bidi="uk-UA"/>
        </w:rPr>
        <w:t xml:space="preserve">відповідно до фактичної потреби 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 xml:space="preserve">при кожному прийманні ТЗ на обслуговування та оформляється </w:t>
      </w:r>
      <w:r>
        <w:rPr>
          <w:rFonts w:ascii="Times New Roman" w:hAnsi="Times New Roman"/>
          <w:color w:val="auto"/>
          <w:sz w:val="24"/>
          <w:szCs w:val="24"/>
          <w:lang w:val="uk-UA" w:eastAsia="uk-UA" w:bidi="uk-UA"/>
        </w:rPr>
        <w:t>нарядом-замовленням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 xml:space="preserve">. 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ab/>
      </w:r>
      <w:r>
        <w:rPr>
          <w:rFonts w:ascii="Times New Roman" w:hAnsi="Times New Roman"/>
          <w:color w:val="auto"/>
          <w:sz w:val="24"/>
          <w:szCs w:val="24"/>
          <w:lang w:val="uk-UA" w:eastAsia="uk-UA" w:bidi="uk-UA"/>
        </w:rPr>
        <w:t>Наряд-замовлення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 w:eastAsia="uk-UA" w:bidi="uk-UA"/>
        </w:rPr>
        <w:t xml:space="preserve">обов’язково 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 xml:space="preserve">узгоджується з Виконавцем та є підставою для складання </w:t>
      </w:r>
      <w:r>
        <w:rPr>
          <w:rFonts w:ascii="Times New Roman" w:hAnsi="Times New Roman"/>
          <w:color w:val="auto"/>
          <w:sz w:val="24"/>
          <w:szCs w:val="24"/>
          <w:lang w:val="uk-UA" w:eastAsia="uk-UA" w:bidi="uk-UA"/>
        </w:rPr>
        <w:t>актів приймання-передачі наданих послуг</w:t>
      </w:r>
      <w:r>
        <w:rPr>
          <w:rFonts w:ascii="Times New Roman" w:hAnsi="Times New Roman"/>
          <w:color w:val="auto"/>
          <w:sz w:val="24"/>
          <w:szCs w:val="24"/>
          <w:lang w:eastAsia="uk-UA" w:bidi="uk-UA"/>
        </w:rPr>
        <w:t>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ab/>
        <w:t>Вартість послуги повинна складатися з сукупної вартості матеріалів, запасних частин та наданої послуги по заміні або встановленню обладнання на автомобіль.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6. Технічне обслуговування та поточний ремонт автомобілів здійснюється виконавцем із використання власних матеріалів і запчастин. Запропоновані виконавцем запчастини, що будуть використовуватись, повинні бути новими та сертифікованими відповідно до вимог чинного законодавства України.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7. Виконавець послуг повинен надавати гарантію не менш ніж 6 місяців або 10 тис. км. пробігу на надані послуги та встановлені запчастини.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8. </w:t>
      </w:r>
      <w:bookmarkStart w:id="0" w:name="_Hlk52954733"/>
      <w:r>
        <w:rPr>
          <w:rFonts w:ascii="Times New Roman" w:hAnsi="Times New Roman"/>
          <w:color w:val="auto"/>
          <w:sz w:val="24"/>
          <w:szCs w:val="24"/>
          <w:lang w:val="uk-UA"/>
        </w:rPr>
        <w:t>У разі виникнення поломки автомобілів, несумісних з подальшим автономним рухом транспортного засобу, виконавець зобов’язаний власними силами забезпечити евакуацію такого автомобіля спеціалізованим транспортом</w:t>
      </w:r>
      <w:bookmarkEnd w:id="0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.  </w:t>
      </w:r>
    </w:p>
    <w:p>
      <w:pPr>
        <w:pStyle w:val="HTMLPreformatted"/>
        <w:tabs>
          <w:tab w:val="clear" w:pos="916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9. Вимоги до СТО учасника: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Важливо!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СТО учасника повинні бути розташовані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 межах м.Славута.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- На СТО повинна бути наявна відповідна матеріально-технічна база (спеціалізовані приміщення, устаткування, обладнання та матеріали), що відповідає встановленим чинним законодавством нормам та вимогам.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- На СТО повинна бути наявна достатня кількість персоналу з необхідним рівнем професійної кваліфікації для надання послуг.</w:t>
      </w:r>
    </w:p>
    <w:p>
      <w:pPr>
        <w:pStyle w:val="Normal"/>
        <w:spacing w:lineRule="auto" w:line="240" w:before="0" w:after="0"/>
        <w:ind w:right="56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- </w:t>
      </w:r>
      <w:bookmarkStart w:id="1" w:name="_Hlk52954627"/>
      <w:r>
        <w:rPr>
          <w:rFonts w:cs="Times New Roman" w:ascii="Times New Roman" w:hAnsi="Times New Roman"/>
          <w:sz w:val="24"/>
          <w:szCs w:val="24"/>
          <w:lang w:val="uk-UA"/>
        </w:rPr>
        <w:t xml:space="preserve">На території СТО повинно бути </w:t>
      </w:r>
      <w:r>
        <w:rPr>
          <w:rFonts w:cs="Times New Roman" w:ascii="Times New Roman" w:hAnsi="Times New Roman"/>
          <w:sz w:val="24"/>
          <w:szCs w:val="24"/>
        </w:rPr>
        <w:t>організ</w:t>
      </w:r>
      <w:r>
        <w:rPr>
          <w:rFonts w:cs="Times New Roman" w:ascii="Times New Roman" w:hAnsi="Times New Roman"/>
          <w:sz w:val="24"/>
          <w:szCs w:val="24"/>
          <w:lang w:val="uk-UA"/>
        </w:rPr>
        <w:t>оване</w:t>
      </w:r>
      <w:r>
        <w:rPr>
          <w:rFonts w:cs="Times New Roman" w:ascii="Times New Roman" w:hAnsi="Times New Roman"/>
          <w:sz w:val="24"/>
          <w:szCs w:val="24"/>
        </w:rPr>
        <w:t xml:space="preserve"> безпечне зберігання автомобіл</w:t>
      </w:r>
      <w:r>
        <w:rPr>
          <w:rFonts w:cs="Times New Roman" w:ascii="Times New Roman" w:hAnsi="Times New Roman"/>
          <w:sz w:val="24"/>
          <w:szCs w:val="24"/>
          <w:lang w:val="uk-UA"/>
        </w:rPr>
        <w:t>ів</w:t>
      </w:r>
      <w:r>
        <w:rPr>
          <w:rFonts w:cs="Times New Roman" w:ascii="Times New Roman" w:hAnsi="Times New Roman"/>
          <w:sz w:val="24"/>
          <w:szCs w:val="24"/>
        </w:rPr>
        <w:t xml:space="preserve"> Замовника,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повинна бути</w:t>
      </w:r>
      <w:r>
        <w:rPr>
          <w:rFonts w:cs="Times New Roman" w:ascii="Times New Roman" w:hAnsi="Times New Roman"/>
          <w:sz w:val="24"/>
          <w:szCs w:val="24"/>
        </w:rPr>
        <w:t xml:space="preserve"> стоянк</w:t>
      </w:r>
      <w:r>
        <w:rPr>
          <w:rFonts w:cs="Times New Roman" w:ascii="Times New Roman" w:hAnsi="Times New Roman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для зберігання автотранспортних засобів Замовника та цілодобов</w:t>
      </w:r>
      <w:r>
        <w:rPr>
          <w:rFonts w:cs="Times New Roman" w:ascii="Times New Roman" w:hAnsi="Times New Roman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фізичн</w:t>
      </w:r>
      <w:r>
        <w:rPr>
          <w:rFonts w:cs="Times New Roman" w:ascii="Times New Roman" w:hAnsi="Times New Roman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охорон</w:t>
      </w:r>
      <w:r>
        <w:rPr>
          <w:rFonts w:cs="Times New Roman" w:ascii="Times New Roman" w:hAnsi="Times New Roman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або відео</w:t>
      </w:r>
      <w:r>
        <w:rPr>
          <w:rFonts w:cs="Times New Roman" w:ascii="Times New Roman" w:hAnsi="Times New Roman"/>
          <w:sz w:val="24"/>
          <w:szCs w:val="24"/>
          <w:lang w:val="uk-UA"/>
        </w:rPr>
        <w:t>-</w:t>
      </w:r>
      <w:r>
        <w:rPr>
          <w:rFonts w:cs="Times New Roman" w:ascii="Times New Roman" w:hAnsi="Times New Roman"/>
          <w:sz w:val="24"/>
          <w:szCs w:val="24"/>
        </w:rPr>
        <w:t>спостереження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bookmarkEnd w:id="1"/>
    </w:p>
    <w:p>
      <w:pPr>
        <w:pStyle w:val="Normal"/>
        <w:spacing w:lineRule="auto" w:line="240" w:before="0" w:after="0"/>
        <w:ind w:right="22" w:hanging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shd w:val="clear" w:fill="FFFFFF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Уповноважена особа з питань закупівель</w:t>
      </w:r>
    </w:p>
    <w:p>
      <w:pPr>
        <w:pStyle w:val="Standard"/>
        <w:shd w:val="clear" w:fill="FFFFFF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/>
        </w:rPr>
        <w:t>виконавчого комітету Славутської міської ради                                             Тетяна НОВАК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70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Preformatted"/>
    <w:qFormat/>
    <w:rsid w:val="00c770a1"/>
    <w:rPr>
      <w:rFonts w:ascii="Courier New" w:hAnsi="Courier New" w:eastAsia="Calibri" w:cs="Times New Roman"/>
      <w:color w:val="000000"/>
      <w:sz w:val="18"/>
      <w:szCs w:val="18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HTML"/>
    <w:qFormat/>
    <w:rsid w:val="00c770a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Times New Roman"/>
      <w:color w:val="000000"/>
      <w:sz w:val="18"/>
      <w:szCs w:val="18"/>
      <w:lang w:eastAsia="ru-RU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egoe UI" w:cs="Tahoma"/>
      <w:color w:val="000000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LibreOffice/7.3.0.3$Windows_X86_64 LibreOffice_project/0f246aa12d0eee4a0f7adcefbf7c878fc2238db3</Application>
  <AppVersion>15.0000</AppVersion>
  <Pages>3</Pages>
  <Words>834</Words>
  <Characters>5604</Characters>
  <CharactersWithSpaces>6418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2020-10-05T13:16:00Z</dcterms:created>
  <dc:creator>XXX</dc:creator>
  <dc:description/>
  <dc:language>uk-UA</dc:language>
  <cp:lastModifiedBy/>
  <dcterms:modified xsi:type="dcterms:W3CDTF">2024-01-26T13:14:05Z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