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Додаток 2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до тендерної документації</w:t>
      </w:r>
    </w:p>
    <w:p>
      <w:pPr>
        <w:spacing w:after="0" w:line="240" w:lineRule="auto"/>
        <w:contextualSpacing/>
        <w:jc w:val="center"/>
        <w:rPr>
          <w:rFonts w:ascii="Times New Roman" w:hAnsi="Times New Roman" w:eastAsia="Times New Roman" w:cs="Times New Roman"/>
          <w:sz w:val="24"/>
          <w:szCs w:val="24"/>
          <w:lang w:eastAsia="ru-RU"/>
        </w:rPr>
      </w:pPr>
    </w:p>
    <w:p>
      <w:pPr>
        <w:spacing w:after="0" w:line="240" w:lineRule="auto"/>
        <w:contextualSpacing/>
        <w:jc w:val="center"/>
        <w:rPr>
          <w:rFonts w:ascii="Times New Roman" w:hAnsi="Times New Roman" w:eastAsia="Times New Roman" w:cs="Times New Roman"/>
          <w:sz w:val="24"/>
          <w:szCs w:val="24"/>
          <w:lang w:eastAsia="ru-RU"/>
        </w:rPr>
      </w:pPr>
    </w:p>
    <w:p>
      <w:pPr>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Технічне завдання</w:t>
      </w:r>
    </w:p>
    <w:p>
      <w:pPr>
        <w:spacing w:after="0" w:line="240" w:lineRule="auto"/>
        <w:contextualSpacing/>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Реактиви для лабораторних досліджень (випробувань), згідно коду ДК 021-2015: 33690000-3 – Лікарські засоби різні</w:t>
      </w:r>
      <w:r>
        <w:rPr>
          <w:rFonts w:ascii="Times New Roman" w:hAnsi="Times New Roman" w:eastAsia="Times New Roman" w:cs="Times New Roman"/>
          <w:sz w:val="24"/>
          <w:szCs w:val="24"/>
          <w:lang w:eastAsia="ru-RU"/>
        </w:rPr>
        <w:t xml:space="preserve"> </w:t>
      </w:r>
    </w:p>
    <w:tbl>
      <w:tblPr>
        <w:tblStyle w:val="3"/>
        <w:tblpPr w:leftFromText="180" w:rightFromText="180" w:vertAnchor="text" w:horzAnchor="page" w:tblpX="709" w:tblpY="483"/>
        <w:tblOverlap w:val="never"/>
        <w:tblW w:w="0" w:type="auto"/>
        <w:tblInd w:w="0" w:type="dxa"/>
        <w:tblLayout w:type="fixed"/>
        <w:tblCellMar>
          <w:top w:w="0" w:type="dxa"/>
          <w:left w:w="10" w:type="dxa"/>
          <w:bottom w:w="0" w:type="dxa"/>
          <w:right w:w="10" w:type="dxa"/>
        </w:tblCellMar>
      </w:tblPr>
      <w:tblGrid>
        <w:gridCol w:w="752"/>
        <w:gridCol w:w="2239"/>
        <w:gridCol w:w="4757"/>
        <w:gridCol w:w="1557"/>
        <w:gridCol w:w="1525"/>
      </w:tblGrid>
      <w:tr>
        <w:trPr>
          <w:trHeight w:val="704" w:hRule="exact"/>
        </w:trPr>
        <w:tc>
          <w:tcPr>
            <w:tcW w:w="752" w:type="dxa"/>
            <w:tcBorders>
              <w:top w:val="single" w:color="auto" w:sz="4" w:space="0"/>
              <w:left w:val="single" w:color="auto" w:sz="4" w:space="0"/>
            </w:tcBorders>
            <w:shd w:val="clear" w:color="auto" w:fill="auto"/>
            <w:vAlign w:val="center"/>
          </w:tcPr>
          <w:p>
            <w:pPr>
              <w:pStyle w:val="9"/>
              <w:spacing w:line="240" w:lineRule="auto"/>
              <w:jc w:val="center"/>
              <w:rPr>
                <w:sz w:val="24"/>
                <w:szCs w:val="24"/>
              </w:rPr>
            </w:pPr>
            <w:r>
              <w:rPr>
                <w:b/>
                <w:bCs/>
                <w:sz w:val="24"/>
                <w:szCs w:val="24"/>
              </w:rPr>
              <w:t xml:space="preserve">№ </w:t>
            </w:r>
            <w:r>
              <w:rPr>
                <w:b/>
                <w:bCs/>
                <w:sz w:val="24"/>
                <w:szCs w:val="24"/>
              </w:rPr>
              <w:br w:type="textWrapping"/>
            </w:r>
            <w:r>
              <w:rPr>
                <w:b/>
                <w:bCs/>
                <w:sz w:val="24"/>
                <w:szCs w:val="24"/>
              </w:rPr>
              <w:t>п/п</w:t>
            </w:r>
          </w:p>
        </w:tc>
        <w:tc>
          <w:tcPr>
            <w:tcW w:w="2239" w:type="dxa"/>
            <w:tcBorders>
              <w:top w:val="single" w:color="auto" w:sz="4" w:space="0"/>
              <w:left w:val="single" w:color="auto" w:sz="4" w:space="0"/>
            </w:tcBorders>
            <w:shd w:val="clear" w:color="auto" w:fill="auto"/>
            <w:vAlign w:val="center"/>
          </w:tcPr>
          <w:p>
            <w:pPr>
              <w:pStyle w:val="9"/>
              <w:spacing w:line="240" w:lineRule="auto"/>
              <w:jc w:val="center"/>
              <w:rPr>
                <w:sz w:val="24"/>
                <w:szCs w:val="24"/>
              </w:rPr>
            </w:pPr>
            <w:r>
              <w:rPr>
                <w:b/>
                <w:bCs/>
                <w:sz w:val="24"/>
                <w:szCs w:val="24"/>
              </w:rPr>
              <w:t>Найменування товару</w:t>
            </w:r>
          </w:p>
        </w:tc>
        <w:tc>
          <w:tcPr>
            <w:tcW w:w="4757" w:type="dxa"/>
            <w:tcBorders>
              <w:top w:val="single" w:color="auto" w:sz="4" w:space="0"/>
              <w:left w:val="single" w:color="auto" w:sz="4" w:space="0"/>
            </w:tcBorders>
            <w:shd w:val="clear" w:color="auto" w:fill="auto"/>
            <w:vAlign w:val="center"/>
          </w:tcPr>
          <w:p>
            <w:pPr>
              <w:pStyle w:val="9"/>
              <w:spacing w:line="240" w:lineRule="auto"/>
              <w:jc w:val="center"/>
              <w:rPr>
                <w:sz w:val="24"/>
                <w:szCs w:val="24"/>
              </w:rPr>
            </w:pPr>
            <w:r>
              <w:rPr>
                <w:b/>
                <w:bCs/>
                <w:sz w:val="24"/>
                <w:szCs w:val="24"/>
              </w:rPr>
              <w:t>Характеристика товару</w:t>
            </w:r>
          </w:p>
        </w:tc>
        <w:tc>
          <w:tcPr>
            <w:tcW w:w="1557" w:type="dxa"/>
            <w:tcBorders>
              <w:top w:val="single" w:color="auto" w:sz="4" w:space="0"/>
              <w:left w:val="single" w:color="auto" w:sz="4" w:space="0"/>
            </w:tcBorders>
            <w:shd w:val="clear" w:color="auto" w:fill="auto"/>
            <w:vAlign w:val="center"/>
          </w:tcPr>
          <w:p>
            <w:pPr>
              <w:pStyle w:val="9"/>
              <w:spacing w:line="240" w:lineRule="auto"/>
              <w:jc w:val="center"/>
              <w:rPr>
                <w:sz w:val="24"/>
                <w:szCs w:val="24"/>
              </w:rPr>
            </w:pPr>
            <w:r>
              <w:rPr>
                <w:b/>
                <w:bCs/>
                <w:sz w:val="24"/>
                <w:szCs w:val="24"/>
              </w:rPr>
              <w:t>Одиниця виміру</w:t>
            </w:r>
          </w:p>
        </w:tc>
        <w:tc>
          <w:tcPr>
            <w:tcW w:w="1525" w:type="dxa"/>
            <w:tcBorders>
              <w:top w:val="single" w:color="auto" w:sz="4" w:space="0"/>
              <w:left w:val="single" w:color="auto" w:sz="4" w:space="0"/>
              <w:right w:val="single" w:color="auto" w:sz="4" w:space="0"/>
            </w:tcBorders>
            <w:shd w:val="clear" w:color="auto" w:fill="auto"/>
            <w:vAlign w:val="center"/>
          </w:tcPr>
          <w:p>
            <w:pPr>
              <w:pStyle w:val="9"/>
              <w:spacing w:line="240" w:lineRule="auto"/>
              <w:jc w:val="center"/>
              <w:rPr>
                <w:sz w:val="24"/>
                <w:szCs w:val="24"/>
              </w:rPr>
            </w:pPr>
            <w:r>
              <w:rPr>
                <w:b/>
                <w:bCs/>
                <w:sz w:val="24"/>
                <w:szCs w:val="24"/>
              </w:rPr>
              <w:t>Кількість</w:t>
            </w:r>
          </w:p>
        </w:tc>
      </w:tr>
      <w:tr>
        <w:trPr>
          <w:trHeight w:val="2196" w:hRule="exact"/>
        </w:trPr>
        <w:tc>
          <w:tcPr>
            <w:tcW w:w="752" w:type="dxa"/>
            <w:tcBorders>
              <w:top w:val="single" w:color="auto" w:sz="4" w:space="0"/>
              <w:left w:val="single" w:color="auto" w:sz="4" w:space="0"/>
            </w:tcBorders>
            <w:shd w:val="clear" w:color="auto" w:fill="auto"/>
            <w:vAlign w:val="center"/>
          </w:tcPr>
          <w:p>
            <w:pPr>
              <w:pStyle w:val="9"/>
              <w:spacing w:line="240" w:lineRule="auto"/>
              <w:jc w:val="center"/>
              <w:rPr>
                <w:sz w:val="24"/>
                <w:szCs w:val="24"/>
              </w:rPr>
            </w:pPr>
            <w:r>
              <w:rPr>
                <w:sz w:val="24"/>
                <w:szCs w:val="24"/>
              </w:rPr>
              <w:t>1</w:t>
            </w:r>
          </w:p>
        </w:tc>
        <w:tc>
          <w:tcPr>
            <w:tcW w:w="2239" w:type="dxa"/>
            <w:tcBorders>
              <w:top w:val="single" w:color="auto" w:sz="4" w:space="0"/>
              <w:left w:val="single" w:color="auto" w:sz="4" w:space="0"/>
            </w:tcBorders>
            <w:shd w:val="clear" w:color="auto" w:fill="auto"/>
            <w:vAlign w:val="center"/>
          </w:tcPr>
          <w:p>
            <w:pPr>
              <w:pStyle w:val="9"/>
              <w:spacing w:line="240" w:lineRule="auto"/>
              <w:jc w:val="center"/>
              <w:rPr>
                <w:sz w:val="24"/>
                <w:szCs w:val="24"/>
              </w:rPr>
            </w:pPr>
            <w:r>
              <w:rPr>
                <w:sz w:val="24"/>
                <w:szCs w:val="24"/>
              </w:rPr>
              <w:t>Глюкоза</w:t>
            </w:r>
          </w:p>
        </w:tc>
        <w:tc>
          <w:tcPr>
            <w:tcW w:w="4757" w:type="dxa"/>
            <w:tcBorders>
              <w:top w:val="single" w:color="auto" w:sz="4" w:space="0"/>
              <w:left w:val="single" w:color="auto" w:sz="4" w:space="0"/>
            </w:tcBorders>
            <w:shd w:val="clear" w:color="auto" w:fill="auto"/>
            <w:vAlign w:val="center"/>
          </w:tcPr>
          <w:p>
            <w:pPr>
              <w:pStyle w:val="9"/>
              <w:spacing w:line="240" w:lineRule="auto"/>
              <w:ind w:right="29"/>
              <w:jc w:val="center"/>
              <w:rPr>
                <w:sz w:val="24"/>
                <w:szCs w:val="24"/>
              </w:rPr>
            </w:pPr>
            <w:r>
              <w:rPr>
                <w:sz w:val="24"/>
                <w:szCs w:val="24"/>
              </w:rPr>
              <w:t>Білий кристалічний порошок, добре розчиняється у воді, погано у спирті. Маркування етикетки згідно чинного законодавства та українською мовою, Копія сертифікату аналізу .Термін придатності - не менше 2 роки</w:t>
            </w:r>
          </w:p>
        </w:tc>
        <w:tc>
          <w:tcPr>
            <w:tcW w:w="1557" w:type="dxa"/>
            <w:tcBorders>
              <w:top w:val="single" w:color="auto" w:sz="4" w:space="0"/>
              <w:left w:val="single" w:color="auto" w:sz="4" w:space="0"/>
            </w:tcBorders>
            <w:shd w:val="clear" w:color="auto" w:fill="auto"/>
            <w:vAlign w:val="center"/>
          </w:tcPr>
          <w:p>
            <w:pPr>
              <w:pStyle w:val="9"/>
              <w:spacing w:line="240" w:lineRule="auto"/>
              <w:ind w:right="148"/>
              <w:jc w:val="center"/>
              <w:rPr>
                <w:sz w:val="24"/>
                <w:szCs w:val="24"/>
              </w:rPr>
            </w:pPr>
            <w:bookmarkStart w:id="0" w:name="_GoBack"/>
            <w:bookmarkEnd w:id="0"/>
            <w:r>
              <w:rPr>
                <w:sz w:val="24"/>
                <w:szCs w:val="24"/>
              </w:rPr>
              <w:t>Гр.</w:t>
            </w:r>
          </w:p>
        </w:tc>
        <w:tc>
          <w:tcPr>
            <w:tcW w:w="1525" w:type="dxa"/>
            <w:tcBorders>
              <w:top w:val="single" w:color="auto" w:sz="4" w:space="0"/>
              <w:left w:val="single" w:color="auto" w:sz="4" w:space="0"/>
              <w:right w:val="single" w:color="auto" w:sz="4" w:space="0"/>
            </w:tcBorders>
            <w:shd w:val="clear" w:color="auto" w:fill="auto"/>
            <w:vAlign w:val="center"/>
          </w:tcPr>
          <w:p>
            <w:pPr>
              <w:pStyle w:val="9"/>
              <w:spacing w:line="240" w:lineRule="auto"/>
              <w:ind w:right="148"/>
              <w:jc w:val="center"/>
              <w:rPr>
                <w:sz w:val="24"/>
                <w:szCs w:val="24"/>
              </w:rPr>
            </w:pPr>
            <w:r>
              <w:rPr>
                <w:sz w:val="24"/>
                <w:szCs w:val="24"/>
              </w:rPr>
              <w:t>100</w:t>
            </w:r>
          </w:p>
        </w:tc>
      </w:tr>
      <w:tr>
        <w:trPr>
          <w:trHeight w:val="2246" w:hRule="exact"/>
        </w:trPr>
        <w:tc>
          <w:tcPr>
            <w:tcW w:w="752" w:type="dxa"/>
            <w:tcBorders>
              <w:top w:val="single" w:color="auto" w:sz="4" w:space="0"/>
              <w:left w:val="single" w:color="auto" w:sz="4" w:space="0"/>
              <w:bottom w:val="single" w:color="auto" w:sz="4" w:space="0"/>
            </w:tcBorders>
            <w:shd w:val="clear" w:color="auto" w:fill="auto"/>
            <w:vAlign w:val="center"/>
          </w:tcPr>
          <w:p>
            <w:pPr>
              <w:pStyle w:val="9"/>
              <w:spacing w:line="240" w:lineRule="auto"/>
              <w:jc w:val="center"/>
              <w:rPr>
                <w:sz w:val="24"/>
                <w:szCs w:val="24"/>
              </w:rPr>
            </w:pPr>
            <w:r>
              <w:rPr>
                <w:sz w:val="24"/>
                <w:szCs w:val="24"/>
              </w:rPr>
              <w:t>2</w:t>
            </w:r>
          </w:p>
        </w:tc>
        <w:tc>
          <w:tcPr>
            <w:tcW w:w="2239" w:type="dxa"/>
            <w:tcBorders>
              <w:top w:val="single" w:color="auto" w:sz="4" w:space="0"/>
              <w:left w:val="single" w:color="auto" w:sz="4" w:space="0"/>
              <w:bottom w:val="single" w:color="auto" w:sz="4" w:space="0"/>
            </w:tcBorders>
            <w:shd w:val="clear" w:color="auto" w:fill="auto"/>
            <w:vAlign w:val="center"/>
          </w:tcPr>
          <w:p>
            <w:pPr>
              <w:pStyle w:val="9"/>
              <w:spacing w:line="240" w:lineRule="auto"/>
              <w:jc w:val="center"/>
              <w:rPr>
                <w:sz w:val="24"/>
                <w:szCs w:val="24"/>
              </w:rPr>
            </w:pPr>
            <w:r>
              <w:rPr>
                <w:sz w:val="24"/>
                <w:szCs w:val="24"/>
              </w:rPr>
              <w:t>Сахароза</w:t>
            </w:r>
          </w:p>
        </w:tc>
        <w:tc>
          <w:tcPr>
            <w:tcW w:w="4757" w:type="dxa"/>
            <w:tcBorders>
              <w:top w:val="single" w:color="auto" w:sz="4" w:space="0"/>
              <w:left w:val="single" w:color="auto" w:sz="4" w:space="0"/>
              <w:bottom w:val="single" w:color="auto" w:sz="4" w:space="0"/>
            </w:tcBorders>
            <w:shd w:val="clear" w:color="auto" w:fill="auto"/>
            <w:vAlign w:val="center"/>
          </w:tcPr>
          <w:p>
            <w:pPr>
              <w:pStyle w:val="9"/>
              <w:spacing w:line="240" w:lineRule="auto"/>
              <w:ind w:right="29"/>
              <w:jc w:val="center"/>
              <w:rPr>
                <w:sz w:val="24"/>
                <w:szCs w:val="24"/>
              </w:rPr>
            </w:pPr>
            <w:r>
              <w:rPr>
                <w:sz w:val="24"/>
                <w:szCs w:val="24"/>
              </w:rPr>
              <w:t>Білий кристалічний порошок, добре розчиняється у воді, погано у спирті. Маркування етикетки згідно чинного законодавства та українською мовою, Копія сертифікату аналізу .Термін придатності - не менше 2 роки</w:t>
            </w:r>
          </w:p>
        </w:tc>
        <w:tc>
          <w:tcPr>
            <w:tcW w:w="1557" w:type="dxa"/>
            <w:tcBorders>
              <w:top w:val="single" w:color="auto" w:sz="4" w:space="0"/>
              <w:left w:val="single" w:color="auto" w:sz="4" w:space="0"/>
              <w:bottom w:val="single" w:color="auto" w:sz="4" w:space="0"/>
            </w:tcBorders>
            <w:shd w:val="clear" w:color="auto" w:fill="auto"/>
            <w:vAlign w:val="center"/>
          </w:tcPr>
          <w:p>
            <w:pPr>
              <w:pStyle w:val="9"/>
              <w:spacing w:line="240" w:lineRule="auto"/>
              <w:ind w:right="148"/>
              <w:jc w:val="center"/>
              <w:rPr>
                <w:sz w:val="24"/>
                <w:szCs w:val="24"/>
              </w:rPr>
            </w:pPr>
            <w:r>
              <w:rPr>
                <w:sz w:val="24"/>
                <w:szCs w:val="24"/>
              </w:rPr>
              <w:t>Гр.</w:t>
            </w:r>
          </w:p>
        </w:tc>
        <w:tc>
          <w:tcPr>
            <w:tcW w:w="15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pacing w:line="240" w:lineRule="auto"/>
              <w:ind w:right="148"/>
              <w:jc w:val="center"/>
              <w:rPr>
                <w:sz w:val="24"/>
                <w:szCs w:val="24"/>
              </w:rPr>
            </w:pPr>
            <w:r>
              <w:rPr>
                <w:sz w:val="24"/>
                <w:szCs w:val="24"/>
              </w:rPr>
              <w:t>100</w:t>
            </w:r>
          </w:p>
        </w:tc>
      </w:tr>
    </w:tbl>
    <w:p>
      <w:pPr>
        <w:spacing w:after="0" w:line="240" w:lineRule="auto"/>
        <w:contextualSpacing/>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1. Товар, запропонований Учасником, повинен відповідати технічним вимогам, встановленим в Технічному завданні, викладеному у даному додатку до тендерної документації (далі – ТД).</w:t>
      </w:r>
    </w:p>
    <w:p>
      <w:pPr>
        <w:spacing w:after="0" w:line="240" w:lineRule="auto"/>
        <w:jc w:val="both"/>
        <w:rPr>
          <w:rFonts w:ascii="Times New Roman" w:hAnsi="Times New Roman" w:cs="Times New Roman"/>
        </w:rPr>
      </w:pPr>
      <w:r>
        <w:rPr>
          <w:rFonts w:ascii="Times New Roman" w:hAnsi="Times New Roman" w:cs="Times New Roman"/>
        </w:rPr>
        <w:t>2.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pPr>
        <w:spacing w:after="0" w:line="240" w:lineRule="auto"/>
        <w:jc w:val="both"/>
        <w:rPr>
          <w:rFonts w:ascii="Times New Roman" w:hAnsi="Times New Roman" w:cs="Times New Roman"/>
        </w:rPr>
      </w:pPr>
      <w:r>
        <w:rPr>
          <w:rFonts w:ascii="Times New Roman" w:hAnsi="Times New Roman" w:cs="Times New Roman"/>
        </w:rPr>
        <w:t>3. Товар повинен передаватись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pPr>
        <w:spacing w:after="0" w:line="240" w:lineRule="auto"/>
        <w:jc w:val="both"/>
        <w:rPr>
          <w:rFonts w:ascii="Times New Roman" w:hAnsi="Times New Roman" w:cs="Times New Roman"/>
        </w:rPr>
      </w:pPr>
      <w:r>
        <w:rPr>
          <w:rFonts w:ascii="Times New Roman" w:hAnsi="Times New Roman" w:cs="Times New Roman"/>
        </w:rPr>
        <w:t>4.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pPr>
        <w:spacing w:after="0" w:line="240" w:lineRule="auto"/>
        <w:jc w:val="both"/>
        <w:rPr>
          <w:rFonts w:ascii="Times New Roman" w:hAnsi="Times New Roman" w:cs="Times New Roman"/>
        </w:rPr>
      </w:pPr>
      <w:r>
        <w:rPr>
          <w:rFonts w:ascii="Times New Roman" w:hAnsi="Times New Roman" w:cs="Times New Roman"/>
        </w:rPr>
        <w:t>5.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pPr>
        <w:spacing w:after="0" w:line="240" w:lineRule="auto"/>
        <w:jc w:val="both"/>
        <w:rPr>
          <w:rFonts w:ascii="Times New Roman" w:hAnsi="Times New Roman" w:cs="Times New Roman"/>
        </w:rPr>
      </w:pPr>
      <w:r>
        <w:rPr>
          <w:rFonts w:ascii="Times New Roman" w:hAnsi="Times New Roman" w:cs="Times New Roman"/>
        </w:rPr>
        <w:t>6. Неякісний товар підлягає обов’язковій заміні, але всі витрати пов’язані із заміною товару несе постачальник.</w:t>
      </w:r>
    </w:p>
    <w:p>
      <w:pPr>
        <w:rPr>
          <w:rFonts w:ascii="Times New Roman" w:hAnsi="Times New Roman" w:cs="Times New Roman"/>
          <w:sz w:val="18"/>
          <w:szCs w:val="24"/>
        </w:rPr>
      </w:pPr>
      <w:r>
        <w:rPr>
          <w:rFonts w:ascii="Times New Roman" w:hAnsi="Times New Roman" w:cs="Times New Roman"/>
        </w:rPr>
        <w:t>7. Тендерна пропозиція, що не відповідає технічним вимогам, викладеним у цьому пункті буде відхилена як така, що не відповідає вимогам Документації тендерної пропозиції.</w:t>
      </w:r>
      <w:r>
        <w:rPr>
          <w:rFonts w:ascii="Times New Roman" w:hAnsi="Times New Roman" w:cs="Times New Roman"/>
          <w:szCs w:val="24"/>
        </w:rPr>
        <w:br w:type="textWrapping"/>
      </w:r>
      <w:r>
        <w:rPr>
          <w:rFonts w:ascii="Times New Roman" w:hAnsi="Times New Roman" w:cs="Times New Roman"/>
          <w:sz w:val="24"/>
          <w:szCs w:val="24"/>
        </w:rPr>
        <w:br w:type="textWrapping"/>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00000000" w:usb1="00000000" w:usb2="00000000" w:usb3="00000000" w:csb0="00000000" w:csb1="00000000"/>
  </w:font>
  <w:font w:name="Segoe UI">
    <w:altName w:val="Helvetica Neue"/>
    <w:panose1 w:val="020B0502040204020203"/>
    <w:charset w:val="CC"/>
    <w:family w:val="swiss"/>
    <w:pitch w:val="default"/>
    <w:sig w:usb0="00000000" w:usb1="00000000" w:usb2="00000009" w:usb3="00000000" w:csb0="000001FF" w:csb1="00000000"/>
  </w:font>
  <w:font w:name="Microsoft Sans Serif">
    <w:panose1 w:val="020B0604020202020204"/>
    <w:charset w:val="CC"/>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87"/>
    <w:rsid w:val="0001105D"/>
    <w:rsid w:val="00017C86"/>
    <w:rsid w:val="000226C1"/>
    <w:rsid w:val="0002715C"/>
    <w:rsid w:val="00063F4C"/>
    <w:rsid w:val="00074661"/>
    <w:rsid w:val="0009596B"/>
    <w:rsid w:val="000B54D6"/>
    <w:rsid w:val="000C7397"/>
    <w:rsid w:val="000C765D"/>
    <w:rsid w:val="000C7F3E"/>
    <w:rsid w:val="001573F4"/>
    <w:rsid w:val="001712D3"/>
    <w:rsid w:val="00196FCA"/>
    <w:rsid w:val="001A0D23"/>
    <w:rsid w:val="001D2721"/>
    <w:rsid w:val="0023390F"/>
    <w:rsid w:val="00233C1C"/>
    <w:rsid w:val="00255F5B"/>
    <w:rsid w:val="00271E5E"/>
    <w:rsid w:val="00275A8A"/>
    <w:rsid w:val="002B3FFB"/>
    <w:rsid w:val="002D02FD"/>
    <w:rsid w:val="00301B12"/>
    <w:rsid w:val="00307911"/>
    <w:rsid w:val="00396174"/>
    <w:rsid w:val="00397714"/>
    <w:rsid w:val="003C669C"/>
    <w:rsid w:val="003F2D7C"/>
    <w:rsid w:val="004175F6"/>
    <w:rsid w:val="00431E7A"/>
    <w:rsid w:val="004350A7"/>
    <w:rsid w:val="004862F4"/>
    <w:rsid w:val="004A036B"/>
    <w:rsid w:val="004B3C38"/>
    <w:rsid w:val="004C378E"/>
    <w:rsid w:val="004C7056"/>
    <w:rsid w:val="004D6B45"/>
    <w:rsid w:val="00525C1C"/>
    <w:rsid w:val="0054021B"/>
    <w:rsid w:val="00542D32"/>
    <w:rsid w:val="005502E8"/>
    <w:rsid w:val="00555BD2"/>
    <w:rsid w:val="005C5315"/>
    <w:rsid w:val="006160D5"/>
    <w:rsid w:val="006215BC"/>
    <w:rsid w:val="00623E12"/>
    <w:rsid w:val="00624A7F"/>
    <w:rsid w:val="0063477E"/>
    <w:rsid w:val="00646003"/>
    <w:rsid w:val="00655859"/>
    <w:rsid w:val="00675A77"/>
    <w:rsid w:val="006763A4"/>
    <w:rsid w:val="00696085"/>
    <w:rsid w:val="00696A61"/>
    <w:rsid w:val="006B332D"/>
    <w:rsid w:val="006C2667"/>
    <w:rsid w:val="0070358A"/>
    <w:rsid w:val="00707279"/>
    <w:rsid w:val="00727617"/>
    <w:rsid w:val="007323AE"/>
    <w:rsid w:val="007424EF"/>
    <w:rsid w:val="0076300E"/>
    <w:rsid w:val="0076593E"/>
    <w:rsid w:val="007A233A"/>
    <w:rsid w:val="007B6EF2"/>
    <w:rsid w:val="007E45FF"/>
    <w:rsid w:val="00804FEA"/>
    <w:rsid w:val="00827A1B"/>
    <w:rsid w:val="0083113A"/>
    <w:rsid w:val="008334B9"/>
    <w:rsid w:val="00834630"/>
    <w:rsid w:val="008447AD"/>
    <w:rsid w:val="008631C2"/>
    <w:rsid w:val="008C06FE"/>
    <w:rsid w:val="008C2483"/>
    <w:rsid w:val="008D6787"/>
    <w:rsid w:val="008E1A3F"/>
    <w:rsid w:val="008E2EFB"/>
    <w:rsid w:val="009079E4"/>
    <w:rsid w:val="00940558"/>
    <w:rsid w:val="00952BD3"/>
    <w:rsid w:val="009542BF"/>
    <w:rsid w:val="00965B04"/>
    <w:rsid w:val="00972A04"/>
    <w:rsid w:val="0099142C"/>
    <w:rsid w:val="009A2952"/>
    <w:rsid w:val="009C750C"/>
    <w:rsid w:val="009D20D5"/>
    <w:rsid w:val="009D7168"/>
    <w:rsid w:val="009E67A9"/>
    <w:rsid w:val="00A03A5B"/>
    <w:rsid w:val="00A11CB6"/>
    <w:rsid w:val="00A16672"/>
    <w:rsid w:val="00A64E8B"/>
    <w:rsid w:val="00A65A9F"/>
    <w:rsid w:val="00A849C3"/>
    <w:rsid w:val="00A922BD"/>
    <w:rsid w:val="00A93208"/>
    <w:rsid w:val="00AB1AF8"/>
    <w:rsid w:val="00AC79B3"/>
    <w:rsid w:val="00B31161"/>
    <w:rsid w:val="00B52B48"/>
    <w:rsid w:val="00B61974"/>
    <w:rsid w:val="00B716AD"/>
    <w:rsid w:val="00B725F4"/>
    <w:rsid w:val="00B81200"/>
    <w:rsid w:val="00B85400"/>
    <w:rsid w:val="00BA2372"/>
    <w:rsid w:val="00BA551E"/>
    <w:rsid w:val="00BE78C2"/>
    <w:rsid w:val="00BF6FBD"/>
    <w:rsid w:val="00C020F1"/>
    <w:rsid w:val="00C17F73"/>
    <w:rsid w:val="00C410CC"/>
    <w:rsid w:val="00C46C36"/>
    <w:rsid w:val="00C8548F"/>
    <w:rsid w:val="00C94152"/>
    <w:rsid w:val="00C9718E"/>
    <w:rsid w:val="00CC7976"/>
    <w:rsid w:val="00CF58C2"/>
    <w:rsid w:val="00D230AF"/>
    <w:rsid w:val="00D31204"/>
    <w:rsid w:val="00D709E2"/>
    <w:rsid w:val="00D747D3"/>
    <w:rsid w:val="00D76A44"/>
    <w:rsid w:val="00DC1E40"/>
    <w:rsid w:val="00DE01D4"/>
    <w:rsid w:val="00E04A67"/>
    <w:rsid w:val="00E15CB9"/>
    <w:rsid w:val="00E27942"/>
    <w:rsid w:val="00E66A1B"/>
    <w:rsid w:val="00E7283F"/>
    <w:rsid w:val="00E90856"/>
    <w:rsid w:val="00EA2194"/>
    <w:rsid w:val="00ED028E"/>
    <w:rsid w:val="00ED7CDE"/>
    <w:rsid w:val="00EE5204"/>
    <w:rsid w:val="00EF759C"/>
    <w:rsid w:val="00F07481"/>
    <w:rsid w:val="00F112BA"/>
    <w:rsid w:val="00F43954"/>
    <w:rsid w:val="00F67312"/>
    <w:rsid w:val="00F76DC2"/>
    <w:rsid w:val="00FA3560"/>
    <w:rsid w:val="00FF13F6"/>
    <w:rsid w:val="EBDF673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Segoe UI" w:hAnsi="Segoe UI" w:cs="Segoe UI"/>
      <w:sz w:val="18"/>
      <w:szCs w:val="18"/>
    </w:rPr>
  </w:style>
  <w:style w:type="character" w:customStyle="1" w:styleId="5">
    <w:name w:val="Основной текст (2)_"/>
    <w:link w:val="6"/>
    <w:uiPriority w:val="0"/>
    <w:rPr>
      <w:rFonts w:ascii="Arial" w:hAnsi="Arial" w:eastAsia="Arial" w:cs="Arial"/>
      <w:sz w:val="19"/>
      <w:szCs w:val="19"/>
      <w:shd w:val="clear" w:color="auto" w:fill="FFFFFF"/>
    </w:rPr>
  </w:style>
  <w:style w:type="paragraph" w:customStyle="1" w:styleId="6">
    <w:name w:val="Основной текст (2)"/>
    <w:basedOn w:val="1"/>
    <w:link w:val="5"/>
    <w:uiPriority w:val="0"/>
    <w:pPr>
      <w:widowControl w:val="0"/>
      <w:shd w:val="clear" w:color="auto" w:fill="FFFFFF"/>
      <w:spacing w:after="0" w:line="216" w:lineRule="exact"/>
      <w:jc w:val="both"/>
    </w:pPr>
    <w:rPr>
      <w:rFonts w:ascii="Arial" w:hAnsi="Arial" w:eastAsia="Arial" w:cs="Arial"/>
      <w:sz w:val="19"/>
      <w:szCs w:val="19"/>
    </w:rPr>
  </w:style>
  <w:style w:type="character" w:customStyle="1" w:styleId="7">
    <w:name w:val="Основной текст (2) + 8 pt"/>
    <w:uiPriority w:val="0"/>
    <w:rPr>
      <w:rFonts w:ascii="Arial" w:hAnsi="Arial" w:eastAsia="Arial" w:cs="Arial"/>
      <w:color w:val="000000"/>
      <w:spacing w:val="0"/>
      <w:w w:val="100"/>
      <w:position w:val="0"/>
      <w:sz w:val="16"/>
      <w:szCs w:val="16"/>
      <w:u w:val="none"/>
      <w:lang w:val="uk-UA" w:eastAsia="uk-UA" w:bidi="uk-UA"/>
    </w:rPr>
  </w:style>
  <w:style w:type="character" w:customStyle="1" w:styleId="8">
    <w:name w:val="Текст выноски Знак"/>
    <w:basedOn w:val="2"/>
    <w:link w:val="4"/>
    <w:semiHidden/>
    <w:uiPriority w:val="99"/>
    <w:rPr>
      <w:rFonts w:ascii="Segoe UI" w:hAnsi="Segoe UI" w:cs="Segoe UI"/>
      <w:sz w:val="18"/>
      <w:szCs w:val="18"/>
    </w:rPr>
  </w:style>
  <w:style w:type="paragraph" w:customStyle="1" w:styleId="9">
    <w:name w:val="Інше"/>
    <w:basedOn w:val="1"/>
    <w:uiPriority w:val="0"/>
    <w:pPr>
      <w:spacing w:line="266" w:lineRule="auto"/>
    </w:pPr>
    <w:rPr>
      <w:rFonts w:ascii="Times New Roman" w:hAnsi="Times New Roman" w:eastAsia="Times New Roman" w:cs="Times New Roman"/>
      <w:sz w:val="15"/>
      <w:szCs w:val="1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1806</Words>
  <Characters>1030</Characters>
  <Lines>8</Lines>
  <Paragraphs>5</Paragraphs>
  <TotalTime>3</TotalTime>
  <ScaleCrop>false</ScaleCrop>
  <LinksUpToDate>false</LinksUpToDate>
  <CharactersWithSpaces>2831</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2023-08-09T15:39:00Z</dcterms:created>
  <dc:creator>Chemikal_1</dc:creator>
  <cp:lastModifiedBy>google1589453068</cp:lastModifiedBy>
  <cp:lastPrinted>2023-07-19T12:37:00Z</cp:lastPrinted>
  <dcterms:modified xsi:type="dcterms:W3CDTF">2024-01-21T17:06:55Z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