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2C66774E" w:rsidR="00C0459B" w:rsidRPr="00AE4089" w:rsidRDefault="00C0459B" w:rsidP="00767345">
            <w:pPr>
              <w:spacing w:line="264" w:lineRule="auto"/>
              <w:jc w:val="right"/>
              <w:rPr>
                <w:b/>
                <w:bCs/>
              </w:rPr>
            </w:pPr>
            <w:r w:rsidRPr="00AE4089">
              <w:rPr>
                <w:b/>
                <w:bCs/>
              </w:rPr>
              <w:t xml:space="preserve">                 від</w:t>
            </w:r>
            <w:r w:rsidRPr="00AE4089">
              <w:t xml:space="preserve"> </w:t>
            </w:r>
            <w:r w:rsidRPr="00AE4089">
              <w:rPr>
                <w:b/>
              </w:rPr>
              <w:t>«</w:t>
            </w:r>
            <w:r w:rsidR="00767345">
              <w:rPr>
                <w:b/>
              </w:rPr>
              <w:t>26</w:t>
            </w:r>
            <w:r w:rsidRPr="00B75EDC">
              <w:rPr>
                <w:b/>
              </w:rPr>
              <w:t xml:space="preserve">» </w:t>
            </w:r>
            <w:r w:rsidR="00767345">
              <w:rPr>
                <w:b/>
              </w:rPr>
              <w:t>квітня</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sz w:val="28"/>
          <w:szCs w:val="28"/>
        </w:rPr>
      </w:pPr>
      <w:r w:rsidRPr="00F6182C">
        <w:rPr>
          <w:sz w:val="28"/>
          <w:szCs w:val="28"/>
        </w:rPr>
        <w:t xml:space="preserve">на закупівлю </w:t>
      </w:r>
      <w:r w:rsidR="00EB3768" w:rsidRPr="00F6182C">
        <w:rPr>
          <w:sz w:val="28"/>
          <w:szCs w:val="28"/>
        </w:rPr>
        <w:t>товару</w:t>
      </w:r>
      <w:r w:rsidR="00E71EE9" w:rsidRPr="00F6182C">
        <w:rPr>
          <w:sz w:val="28"/>
          <w:szCs w:val="28"/>
        </w:rPr>
        <w:t>:</w:t>
      </w:r>
    </w:p>
    <w:p w14:paraId="59FC30BE" w14:textId="77777777" w:rsidR="00F6182C" w:rsidRPr="00F6182C" w:rsidRDefault="00F6182C" w:rsidP="00C0459B">
      <w:pPr>
        <w:spacing w:line="264" w:lineRule="auto"/>
        <w:jc w:val="center"/>
        <w:rPr>
          <w:sz w:val="28"/>
          <w:szCs w:val="28"/>
        </w:rPr>
      </w:pPr>
    </w:p>
    <w:p w14:paraId="35FE55C8" w14:textId="55AC1472" w:rsidR="00F6182C" w:rsidRDefault="00767345" w:rsidP="00F6182C">
      <w:pPr>
        <w:spacing w:line="264" w:lineRule="auto"/>
        <w:jc w:val="center"/>
        <w:rPr>
          <w:b/>
          <w:sz w:val="28"/>
          <w:szCs w:val="28"/>
        </w:rPr>
      </w:pPr>
      <w:r>
        <w:rPr>
          <w:b/>
          <w:sz w:val="28"/>
          <w:szCs w:val="28"/>
        </w:rPr>
        <w:t>Вироби медичного призначення</w:t>
      </w:r>
    </w:p>
    <w:p w14:paraId="662EEF85" w14:textId="77777777" w:rsidR="00BD4119" w:rsidRPr="00F6182C" w:rsidRDefault="00BD4119" w:rsidP="00F6182C">
      <w:pPr>
        <w:spacing w:line="264" w:lineRule="auto"/>
        <w:jc w:val="center"/>
        <w:rPr>
          <w:b/>
          <w:sz w:val="28"/>
          <w:szCs w:val="28"/>
        </w:rPr>
      </w:pPr>
    </w:p>
    <w:p w14:paraId="3806058F" w14:textId="26A8D23C" w:rsidR="00F6182C" w:rsidRDefault="00F6182C" w:rsidP="00F6182C">
      <w:pPr>
        <w:spacing w:line="264" w:lineRule="auto"/>
        <w:jc w:val="center"/>
        <w:rPr>
          <w:b/>
          <w:sz w:val="28"/>
          <w:szCs w:val="28"/>
        </w:rPr>
      </w:pPr>
      <w:r w:rsidRPr="00F6182C">
        <w:rPr>
          <w:b/>
          <w:sz w:val="28"/>
          <w:szCs w:val="28"/>
        </w:rPr>
        <w:t xml:space="preserve"> код ДК 021:2015 "Єдиний закупівельний словник" — </w:t>
      </w:r>
      <w:r w:rsidR="00767345">
        <w:rPr>
          <w:b/>
          <w:sz w:val="28"/>
          <w:szCs w:val="28"/>
        </w:rPr>
        <w:t>33140000-6 – 3  -Медичні матеріали</w:t>
      </w:r>
    </w:p>
    <w:p w14:paraId="31A7B2AF" w14:textId="77777777" w:rsidR="00BD4119" w:rsidRDefault="00BD4119" w:rsidP="00F6182C">
      <w:pPr>
        <w:spacing w:line="264" w:lineRule="auto"/>
        <w:jc w:val="center"/>
        <w:rPr>
          <w:b/>
          <w:sz w:val="28"/>
          <w:szCs w:val="28"/>
        </w:rPr>
      </w:pPr>
    </w:p>
    <w:p w14:paraId="196FDEF7" w14:textId="77777777" w:rsidR="0032687B" w:rsidRPr="0032687B" w:rsidRDefault="004B2FD0" w:rsidP="0032687B">
      <w:pPr>
        <w:spacing w:line="264" w:lineRule="auto"/>
        <w:jc w:val="center"/>
        <w:rPr>
          <w:rFonts w:eastAsia="Andale Sans UI"/>
          <w:kern w:val="1"/>
          <w:sz w:val="28"/>
          <w:szCs w:val="28"/>
        </w:rPr>
      </w:pPr>
      <w:r>
        <w:rPr>
          <w:rFonts w:eastAsia="Andale Sans UI"/>
          <w:kern w:val="1"/>
          <w:sz w:val="28"/>
          <w:szCs w:val="28"/>
        </w:rPr>
        <w:t>к</w:t>
      </w:r>
      <w:r w:rsidR="00761F46">
        <w:rPr>
          <w:rFonts w:eastAsia="Andale Sans UI"/>
          <w:kern w:val="1"/>
          <w:sz w:val="28"/>
          <w:szCs w:val="28"/>
        </w:rPr>
        <w:t xml:space="preserve">од НКМВ 024:2023 – </w:t>
      </w:r>
      <w:r w:rsidR="0032687B" w:rsidRPr="0032687B">
        <w:rPr>
          <w:rFonts w:eastAsia="Andale Sans UI"/>
          <w:kern w:val="1"/>
          <w:sz w:val="28"/>
          <w:szCs w:val="28"/>
        </w:rPr>
        <w:t>47625 Набір трубок до хірургічної системи для аспірації/іригації</w:t>
      </w:r>
    </w:p>
    <w:p w14:paraId="384DE361" w14:textId="38F8E67E" w:rsidR="00356F88" w:rsidRDefault="0032687B" w:rsidP="0032687B">
      <w:pPr>
        <w:spacing w:line="264" w:lineRule="auto"/>
        <w:jc w:val="center"/>
        <w:rPr>
          <w:rFonts w:eastAsia="Andale Sans UI"/>
          <w:kern w:val="1"/>
          <w:sz w:val="28"/>
          <w:szCs w:val="28"/>
        </w:rPr>
      </w:pPr>
      <w:r w:rsidRPr="0032687B">
        <w:rPr>
          <w:rFonts w:eastAsia="Andale Sans UI"/>
          <w:kern w:val="1"/>
          <w:sz w:val="28"/>
          <w:szCs w:val="28"/>
        </w:rPr>
        <w:t>35072 Фільтр для інфузійної системи внутрішньовенних вливань</w:t>
      </w:r>
      <w:r>
        <w:rPr>
          <w:rFonts w:eastAsia="Andale Sans UI"/>
          <w:kern w:val="1"/>
          <w:sz w:val="28"/>
          <w:szCs w:val="28"/>
        </w:rPr>
        <w:t xml:space="preserve">; </w:t>
      </w:r>
      <w:r w:rsidRPr="0032687B">
        <w:rPr>
          <w:rFonts w:eastAsia="Andale Sans UI"/>
          <w:kern w:val="1"/>
          <w:sz w:val="28"/>
          <w:szCs w:val="28"/>
        </w:rPr>
        <w:t>40601 Периферійний судинний катетер</w:t>
      </w:r>
      <w:r>
        <w:rPr>
          <w:rFonts w:eastAsia="Andale Sans UI"/>
          <w:kern w:val="1"/>
          <w:sz w:val="28"/>
          <w:szCs w:val="28"/>
        </w:rPr>
        <w:t>;</w:t>
      </w:r>
      <w:r w:rsidRPr="0032687B">
        <w:rPr>
          <w:rFonts w:eastAsia="Andale Sans UI"/>
          <w:kern w:val="1"/>
          <w:sz w:val="28"/>
          <w:szCs w:val="28"/>
        </w:rPr>
        <w:t>32172 Клапан інфузійної системи внутрішньовенних вливань</w:t>
      </w:r>
      <w:r>
        <w:rPr>
          <w:rFonts w:eastAsia="Andale Sans UI"/>
          <w:kern w:val="1"/>
          <w:sz w:val="28"/>
          <w:szCs w:val="28"/>
        </w:rPr>
        <w:t xml:space="preserve">; </w:t>
      </w:r>
      <w:r w:rsidRPr="0032687B">
        <w:rPr>
          <w:rFonts w:eastAsia="Andale Sans UI"/>
          <w:kern w:val="1"/>
          <w:sz w:val="28"/>
          <w:szCs w:val="28"/>
        </w:rPr>
        <w:t>45189 Протектор на очі для фототерапії, разового застосування</w:t>
      </w:r>
      <w:r>
        <w:rPr>
          <w:rFonts w:eastAsia="Andale Sans UI"/>
          <w:kern w:val="1"/>
          <w:sz w:val="28"/>
          <w:szCs w:val="28"/>
        </w:rPr>
        <w:t xml:space="preserve">; </w:t>
      </w:r>
      <w:r w:rsidRPr="0032687B">
        <w:rPr>
          <w:rFonts w:eastAsia="Andale Sans UI"/>
          <w:kern w:val="1"/>
          <w:sz w:val="28"/>
          <w:szCs w:val="28"/>
        </w:rPr>
        <w:t>58301 Пов`язка плівкова напівпроникна з синтетичного полімеру адгезивна стерильна</w:t>
      </w:r>
    </w:p>
    <w:p w14:paraId="73713B48" w14:textId="77777777" w:rsidR="00F6182C" w:rsidRDefault="00F6182C" w:rsidP="0032687B">
      <w:pPr>
        <w:spacing w:line="264" w:lineRule="auto"/>
        <w:jc w:val="center"/>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388D8188" w14:textId="77777777" w:rsidR="009828D4" w:rsidRDefault="009828D4" w:rsidP="00C0459B">
      <w:pPr>
        <w:spacing w:line="264" w:lineRule="auto"/>
        <w:jc w:val="center"/>
        <w:rPr>
          <w:b/>
          <w:bCs/>
          <w:sz w:val="28"/>
          <w:szCs w:val="28"/>
          <w:lang w:eastAsia="uk-UA"/>
        </w:rPr>
      </w:pPr>
    </w:p>
    <w:p w14:paraId="27AF14F4" w14:textId="77777777" w:rsidR="009828D4" w:rsidRDefault="009828D4" w:rsidP="00C0459B">
      <w:pPr>
        <w:spacing w:line="264" w:lineRule="auto"/>
        <w:jc w:val="center"/>
        <w:rPr>
          <w:b/>
          <w:bCs/>
          <w:sz w:val="28"/>
          <w:szCs w:val="28"/>
          <w:lang w:eastAsia="uk-UA"/>
        </w:rPr>
      </w:pPr>
    </w:p>
    <w:p w14:paraId="02C38EA4" w14:textId="77777777" w:rsidR="009828D4" w:rsidRDefault="009828D4" w:rsidP="00C0459B">
      <w:pPr>
        <w:spacing w:line="264" w:lineRule="auto"/>
        <w:jc w:val="center"/>
        <w:rPr>
          <w:b/>
          <w:bCs/>
          <w:sz w:val="28"/>
          <w:szCs w:val="28"/>
          <w:lang w:eastAsia="uk-UA"/>
        </w:rPr>
      </w:pPr>
    </w:p>
    <w:p w14:paraId="2343CD52" w14:textId="77777777" w:rsidR="009828D4" w:rsidRDefault="009828D4" w:rsidP="00C0459B">
      <w:pPr>
        <w:spacing w:line="264" w:lineRule="auto"/>
        <w:jc w:val="center"/>
        <w:rPr>
          <w:b/>
          <w:bCs/>
          <w:sz w:val="28"/>
          <w:szCs w:val="28"/>
          <w:lang w:eastAsia="uk-UA"/>
        </w:rPr>
      </w:pPr>
    </w:p>
    <w:p w14:paraId="7B288EEA" w14:textId="77777777" w:rsidR="009828D4" w:rsidRDefault="009828D4" w:rsidP="00C0459B">
      <w:pPr>
        <w:spacing w:line="264" w:lineRule="auto"/>
        <w:jc w:val="center"/>
        <w:rPr>
          <w:b/>
          <w:bCs/>
          <w:sz w:val="28"/>
          <w:szCs w:val="28"/>
          <w:lang w:eastAsia="uk-UA"/>
        </w:rPr>
      </w:pPr>
    </w:p>
    <w:p w14:paraId="5DFFACD4" w14:textId="77777777" w:rsidR="009828D4" w:rsidRDefault="009828D4"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Default="009619D9" w:rsidP="001A7AFA">
      <w:pPr>
        <w:ind w:right="-2"/>
        <w:jc w:val="center"/>
        <w:rPr>
          <w:highlight w:val="yellow"/>
        </w:rPr>
      </w:pPr>
    </w:p>
    <w:p w14:paraId="7BF618DF" w14:textId="77777777" w:rsidR="004B2FD0" w:rsidRDefault="004B2FD0" w:rsidP="001A7AFA">
      <w:pPr>
        <w:ind w:right="-2"/>
        <w:jc w:val="center"/>
        <w:rPr>
          <w:highlight w:val="yellow"/>
        </w:rPr>
      </w:pPr>
    </w:p>
    <w:p w14:paraId="2B252ED4" w14:textId="77777777" w:rsidR="004B2FD0" w:rsidRDefault="004B2FD0" w:rsidP="001A7AFA">
      <w:pPr>
        <w:ind w:right="-2"/>
        <w:jc w:val="center"/>
        <w:rPr>
          <w:highlight w:val="yellow"/>
        </w:rPr>
      </w:pPr>
    </w:p>
    <w:p w14:paraId="40E41B13" w14:textId="77777777" w:rsidR="00767345" w:rsidRDefault="00767345" w:rsidP="001A7AFA">
      <w:pPr>
        <w:ind w:right="-2"/>
        <w:jc w:val="center"/>
        <w:rPr>
          <w:highlight w:val="yellow"/>
        </w:rPr>
      </w:pPr>
    </w:p>
    <w:p w14:paraId="09EF86D7" w14:textId="77777777" w:rsidR="00767345" w:rsidRPr="006B4622" w:rsidRDefault="00767345"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0D7D3E59" w14:textId="77777777" w:rsidR="00767345" w:rsidRPr="00767345" w:rsidRDefault="00767345" w:rsidP="00767345">
            <w:pPr>
              <w:tabs>
                <w:tab w:val="left" w:pos="1652"/>
              </w:tabs>
              <w:spacing w:after="160" w:line="259" w:lineRule="auto"/>
              <w:rPr>
                <w:rFonts w:eastAsia="Calibri"/>
                <w:lang w:eastAsia="en-US"/>
              </w:rPr>
            </w:pPr>
            <w:r w:rsidRPr="00767345">
              <w:rPr>
                <w:rFonts w:eastAsia="Calibri"/>
                <w:lang w:eastAsia="en-US"/>
              </w:rPr>
              <w:t>Вироби медичного призначення</w:t>
            </w:r>
          </w:p>
          <w:p w14:paraId="7C39895B" w14:textId="1C07E08D" w:rsidR="00767345" w:rsidRDefault="00767345" w:rsidP="00767345">
            <w:pPr>
              <w:tabs>
                <w:tab w:val="left" w:pos="1652"/>
              </w:tabs>
              <w:spacing w:after="160" w:line="259" w:lineRule="auto"/>
              <w:jc w:val="both"/>
              <w:rPr>
                <w:rFonts w:eastAsia="Calibri"/>
                <w:lang w:eastAsia="en-US"/>
              </w:rPr>
            </w:pPr>
            <w:r w:rsidRPr="00767345">
              <w:rPr>
                <w:rFonts w:eastAsia="Calibri"/>
                <w:lang w:eastAsia="en-US"/>
              </w:rPr>
              <w:t xml:space="preserve"> код ДК 021:2015 "Єдиний закупівельний словник" — 33140000-6 – 3  -Медичні матеріали</w:t>
            </w:r>
            <w:r w:rsidR="0032687B">
              <w:rPr>
                <w:rFonts w:eastAsia="Calibri"/>
                <w:lang w:eastAsia="en-US"/>
              </w:rPr>
              <w:t xml:space="preserve">, </w:t>
            </w:r>
          </w:p>
          <w:p w14:paraId="68958575" w14:textId="52792157" w:rsidR="0011102A" w:rsidRPr="00E55D20" w:rsidRDefault="00F6182C" w:rsidP="0032687B">
            <w:pPr>
              <w:tabs>
                <w:tab w:val="left" w:pos="1652"/>
              </w:tabs>
              <w:spacing w:after="160" w:line="259" w:lineRule="auto"/>
              <w:jc w:val="both"/>
              <w:rPr>
                <w:rFonts w:eastAsia="Calibri"/>
                <w:lang w:eastAsia="en-US"/>
              </w:rPr>
            </w:pPr>
            <w:r w:rsidRPr="00F6182C">
              <w:rPr>
                <w:rFonts w:eastAsia="Calibri"/>
                <w:lang w:eastAsia="en-US"/>
              </w:rPr>
              <w:t xml:space="preserve">код НКМВ 024:2023 </w:t>
            </w:r>
            <w:r w:rsidR="00BD4119">
              <w:rPr>
                <w:rFonts w:eastAsia="Calibri"/>
                <w:lang w:eastAsia="en-US"/>
              </w:rPr>
              <w:t xml:space="preserve">- </w:t>
            </w:r>
            <w:r w:rsidR="0032687B" w:rsidRPr="0032687B">
              <w:rPr>
                <w:rFonts w:eastAsia="Calibri"/>
                <w:lang w:eastAsia="en-US"/>
              </w:rPr>
              <w:t>47625 Набір трубок до хірургічної системи для аспірації/іригації</w:t>
            </w:r>
            <w:r w:rsidR="0032687B">
              <w:rPr>
                <w:rFonts w:eastAsia="Calibri"/>
                <w:lang w:eastAsia="en-US"/>
              </w:rPr>
              <w:t xml:space="preserve">; </w:t>
            </w:r>
            <w:r w:rsidR="0032687B" w:rsidRPr="0032687B">
              <w:rPr>
                <w:rFonts w:eastAsia="Calibri"/>
                <w:lang w:eastAsia="en-US"/>
              </w:rPr>
              <w:t>35072 Фільтр для інфузійної системи внутрішньовенних вливань; 40601 Периферійний судинний катетер;</w:t>
            </w:r>
            <w:r w:rsidR="0032687B">
              <w:rPr>
                <w:rFonts w:eastAsia="Calibri"/>
                <w:lang w:eastAsia="en-US"/>
              </w:rPr>
              <w:t xml:space="preserve"> </w:t>
            </w:r>
            <w:r w:rsidR="0032687B" w:rsidRPr="0032687B">
              <w:rPr>
                <w:rFonts w:eastAsia="Calibri"/>
                <w:lang w:eastAsia="en-US"/>
              </w:rPr>
              <w:t>32172 Клапан інфузійної системи внутрішньовенних вливань; 45189 Протектор на очі для фототерапії, разового застосування; 58301 Пов`язка плівкова напівпроникна з синтетичного полімеру адгезивна стерильна</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 xml:space="preserve">Опис окремої частини (частин) предмета закупівлі (лота), щодо якої можуть бути подані </w:t>
            </w:r>
            <w:r w:rsidRPr="00343482">
              <w:rPr>
                <w:rFonts w:ascii="Times New Roman" w:hAnsi="Times New Roman"/>
                <w:sz w:val="24"/>
              </w:rPr>
              <w:lastRenderedPageBreak/>
              <w:t>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lastRenderedPageBreak/>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lastRenderedPageBreak/>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28119FF1" w:rsidR="009B33EB" w:rsidRPr="00494B0B" w:rsidRDefault="004B2FD0" w:rsidP="009B33EB">
            <w:pPr>
              <w:pStyle w:val="aa"/>
              <w:snapToGrid w:val="0"/>
              <w:spacing w:before="0" w:after="0" w:line="264" w:lineRule="auto"/>
              <w:rPr>
                <w:lang w:val="uk-UA"/>
              </w:rPr>
            </w:pPr>
            <w:r>
              <w:rPr>
                <w:b/>
                <w:lang w:val="uk-UA"/>
              </w:rPr>
              <w:t xml:space="preserve">партіями </w:t>
            </w:r>
            <w:r w:rsidR="009B33EB" w:rsidRPr="00494B0B">
              <w:rPr>
                <w:b/>
                <w:lang w:val="uk-UA"/>
              </w:rPr>
              <w:t xml:space="preserve">до </w:t>
            </w:r>
            <w:r w:rsidR="00E71EE9">
              <w:rPr>
                <w:b/>
                <w:lang w:val="uk-UA"/>
              </w:rPr>
              <w:t>31</w:t>
            </w:r>
            <w:r w:rsidR="00B877D6" w:rsidRPr="00494B0B">
              <w:rPr>
                <w:b/>
                <w:lang w:val="uk-UA"/>
              </w:rPr>
              <w:t>.</w:t>
            </w:r>
            <w:r w:rsidR="0011102A">
              <w:rPr>
                <w:b/>
                <w:lang w:val="uk-UA"/>
              </w:rPr>
              <w:t>12</w:t>
            </w:r>
            <w:r w:rsidR="009B33EB" w:rsidRPr="00494B0B">
              <w:rPr>
                <w:b/>
                <w:lang w:val="uk-UA"/>
              </w:rPr>
              <w:t>.202</w:t>
            </w:r>
            <w:r w:rsidR="004B7A38">
              <w:rPr>
                <w:b/>
                <w:lang w:val="uk-UA"/>
              </w:rPr>
              <w:t>4</w:t>
            </w:r>
            <w:r w:rsidR="009B33EB"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0"/>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w:t>
            </w:r>
            <w:r w:rsidR="00BD75D6">
              <w:rPr>
                <w:lang w:eastAsia="uk-UA"/>
              </w:rPr>
              <w:lastRenderedPageBreak/>
              <w:t>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w:t>
            </w:r>
            <w:r w:rsidR="000209E8" w:rsidRPr="000209E8">
              <w:rPr>
                <w:rFonts w:ascii="Times New Roman" w:hAnsi="Times New Roman"/>
                <w:sz w:val="24"/>
                <w:lang w:eastAsia="ru-RU"/>
              </w:rPr>
              <w:lastRenderedPageBreak/>
              <w:t>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lastRenderedPageBreak/>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34551018" w14:textId="5D5E7323" w:rsidR="001D6311" w:rsidRPr="001D6311" w:rsidRDefault="00245AF5" w:rsidP="001D6311">
            <w:pPr>
              <w:pStyle w:val="af6"/>
              <w:jc w:val="both"/>
              <w:rPr>
                <w:rFonts w:ascii="Times New Roman" w:hAnsi="Times New Roman"/>
                <w:sz w:val="24"/>
              </w:rPr>
            </w:pPr>
            <w:r>
              <w:rPr>
                <w:rFonts w:ascii="Times New Roman" w:hAnsi="Times New Roman"/>
                <w:sz w:val="24"/>
              </w:rPr>
              <w:t>2.1.1.</w:t>
            </w:r>
            <w:r w:rsidR="001D6311">
              <w:t xml:space="preserve"> </w:t>
            </w:r>
            <w:r w:rsidR="001D6311" w:rsidRPr="001D6311">
              <w:rPr>
                <w:rFonts w:ascii="Times New Roman" w:hAnsi="Times New Roman"/>
                <w:sz w:val="24"/>
              </w:rPr>
              <w:t xml:space="preserve">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 Фізична/юридична особа має право </w:t>
            </w:r>
            <w:r w:rsidR="001D6311" w:rsidRPr="001D6311">
              <w:rPr>
                <w:rFonts w:ascii="Times New Roman" w:hAnsi="Times New Roman"/>
                <w:b/>
                <w:sz w:val="24"/>
              </w:rPr>
              <w:t>не пізніше ніж за три дні</w:t>
            </w:r>
            <w:r w:rsidR="001D6311" w:rsidRPr="001D6311">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4E6C9C5C" w14:textId="77777777" w:rsidR="001D6311" w:rsidRPr="001D6311" w:rsidRDefault="00245AF5" w:rsidP="006A033C">
            <w:pPr>
              <w:pStyle w:val="af6"/>
              <w:jc w:val="both"/>
              <w:rPr>
                <w:rFonts w:ascii="Times New Roman" w:hAnsi="Times New Roman"/>
                <w:b/>
                <w:sz w:val="24"/>
              </w:rPr>
            </w:pPr>
            <w:r>
              <w:rPr>
                <w:rFonts w:ascii="Times New Roman" w:hAnsi="Times New Roman"/>
                <w:sz w:val="24"/>
              </w:rPr>
              <w:t>2.1.2.</w:t>
            </w:r>
            <w:r w:rsidR="001D6311">
              <w:t xml:space="preserve"> </w:t>
            </w:r>
            <w:r w:rsidR="001D6311" w:rsidRPr="001D6311">
              <w:rPr>
                <w:rFonts w:ascii="Times New Roman" w:hAnsi="Times New Roman"/>
                <w:sz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1D6311" w:rsidRPr="001D6311">
              <w:rPr>
                <w:rFonts w:ascii="Times New Roman" w:hAnsi="Times New Roman"/>
                <w:b/>
                <w:sz w:val="24"/>
              </w:rPr>
              <w:t>не менше ніж на чотири дні.</w:t>
            </w:r>
          </w:p>
          <w:p w14:paraId="5AE8649F" w14:textId="37B76238"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2D229B64" w14:textId="07EAAE4E" w:rsidR="006A033C" w:rsidRPr="006A033C" w:rsidRDefault="00245AF5" w:rsidP="00F71C9B">
            <w:pPr>
              <w:pStyle w:val="af6"/>
              <w:jc w:val="both"/>
              <w:rPr>
                <w:rFonts w:ascii="Times New Roman" w:hAnsi="Times New Roman"/>
                <w:sz w:val="24"/>
                <w:szCs w:val="24"/>
                <w:lang w:val="ru-RU"/>
              </w:rPr>
            </w:pPr>
            <w:r>
              <w:rPr>
                <w:rFonts w:ascii="Times New Roman" w:hAnsi="Times New Roman"/>
                <w:sz w:val="24"/>
              </w:rPr>
              <w:t>2.2.1.</w:t>
            </w:r>
            <w:r w:rsidR="001D6311">
              <w:t xml:space="preserve"> </w:t>
            </w:r>
            <w:r w:rsidR="001D6311" w:rsidRPr="001D6311">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001D6311" w:rsidRPr="001D6311">
              <w:rPr>
                <w:rFonts w:ascii="Times New Roman" w:hAnsi="Times New Roman"/>
                <w:b/>
                <w:sz w:val="24"/>
              </w:rPr>
              <w:t>не менше чотирьох днів</w:t>
            </w:r>
            <w:r w:rsidR="001D6311" w:rsidRPr="001D6311">
              <w:rPr>
                <w:rFonts w:ascii="Times New Roman" w:hAnsi="Times New Roman"/>
                <w:sz w:val="24"/>
              </w:rPr>
              <w:t xml:space="preserve">. </w:t>
            </w:r>
            <w:r>
              <w:rPr>
                <w:rFonts w:ascii="Times New Roman" w:hAnsi="Times New Roman"/>
                <w:sz w:val="24"/>
              </w:rPr>
              <w:t>2.2.2.</w:t>
            </w:r>
            <w:r w:rsidR="001D6311">
              <w:t xml:space="preserve"> </w:t>
            </w:r>
            <w:r w:rsidR="001D6311" w:rsidRPr="001D6311">
              <w:rPr>
                <w:rFonts w:ascii="Times New Roman" w:hAnsi="Times New Roman"/>
                <w:sz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w:t>
            </w:r>
            <w:r w:rsidR="005616F8" w:rsidRPr="00322954">
              <w:rPr>
                <w:rFonts w:ascii="Times New Roman" w:hAnsi="Times New Roman" w:cs="Times New Roman"/>
                <w:sz w:val="24"/>
                <w:szCs w:val="24"/>
                <w:lang w:val="uk-UA"/>
              </w:rPr>
              <w:lastRenderedPageBreak/>
              <w:t>(серія,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 xml:space="preserve">формальних помилок, затверджений наказом </w:t>
            </w:r>
            <w:r>
              <w:rPr>
                <w:color w:val="000000"/>
              </w:rPr>
              <w:lastRenderedPageBreak/>
              <w:t>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 xml:space="preserve">і у складі тендерної пропозиції, що складений у </w:t>
            </w:r>
            <w:r>
              <w:rPr>
                <w:color w:val="000000"/>
              </w:rPr>
              <w:lastRenderedPageBreak/>
              <w:t>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lastRenderedPageBreak/>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xml:space="preserve">, у разі якщо така інформація є публічною, що </w:t>
            </w:r>
            <w:r w:rsidR="007A0D0E" w:rsidRPr="007A0D0E">
              <w:rPr>
                <w:color w:val="000000"/>
                <w:shd w:val="solid" w:color="FFFFFF" w:fill="FFFFFF"/>
              </w:rPr>
              <w:lastRenderedPageBreak/>
              <w:t>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7) тендерна пропозиція подана учасником процедури закупівлі, </w:t>
            </w:r>
            <w:r w:rsidRPr="00D16F9F">
              <w:rPr>
                <w:color w:val="000000"/>
                <w:shd w:val="solid" w:color="FFFFFF" w:fill="FFFFFF"/>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97D4BE" w14:textId="750FBAA9" w:rsidR="00D16F9F" w:rsidRPr="00D16F9F" w:rsidRDefault="00D16F9F" w:rsidP="00D16F9F">
            <w:pPr>
              <w:spacing w:before="120"/>
              <w:jc w:val="both"/>
              <w:rPr>
                <w:color w:val="000000"/>
                <w:shd w:val="solid" w:color="FFFFFF" w:fill="FFFFFF"/>
              </w:rPr>
            </w:pPr>
            <w:r w:rsidRPr="00D16F9F">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C95F53" w14:textId="3C9ED0A8"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264144">
              <w:rPr>
                <w:color w:val="000000"/>
                <w:shd w:val="solid" w:color="FFFFFF" w:fill="FFFFFF"/>
              </w:rPr>
              <w:t>з Законом України “Про санкції”, крім випадку, коли активи такої особи в установленому законодавством порядку передані в управління АРМА;</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1213BEF4"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w:t>
            </w:r>
            <w:r w:rsidR="000A6F84" w:rsidRPr="007F5C3B">
              <w:rPr>
                <w:b/>
                <w:color w:val="000000"/>
                <w:shd w:val="solid" w:color="FFFFFF" w:fill="FFFFFF"/>
              </w:rPr>
              <w:t>чотири дні</w:t>
            </w:r>
            <w:r w:rsidR="000A6F84" w:rsidRPr="00611CDA">
              <w:rPr>
                <w:color w:val="000000"/>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7F5C3B">
              <w:rPr>
                <w:color w:val="000000"/>
                <w:shd w:val="solid" w:color="FFFFFF" w:fill="FFFFFF"/>
              </w:rPr>
              <w:t xml:space="preserve"> цього пункту</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 xml:space="preserve">У зв’язку з воєнним станом в Україні, введеним указом </w:t>
            </w:r>
            <w:r w:rsidR="00134FD3" w:rsidRPr="00444307">
              <w:rPr>
                <w:color w:val="000000"/>
                <w:shd w:val="solid" w:color="FFFFFF" w:fill="FFFFFF"/>
              </w:rPr>
              <w:lastRenderedPageBreak/>
              <w:t>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w:t>
            </w:r>
            <w:r w:rsidRPr="00134FD3">
              <w:rPr>
                <w:color w:val="000000"/>
                <w:shd w:val="solid" w:color="FFFFFF" w:fill="FFFFFF"/>
              </w:rPr>
              <w:lastRenderedPageBreak/>
              <w:t>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r w:rsidR="0086338D" w:rsidRPr="00870B36">
              <w:rPr>
                <w:shd w:val="clear" w:color="auto" w:fill="FFFFFF"/>
              </w:rPr>
              <w:t>енергоспоживчої продукції (товарів)</w:t>
            </w:r>
            <w:bookmarkEnd w:id="5"/>
            <w:r w:rsidR="0086338D" w:rsidRPr="00870B36">
              <w:rPr>
                <w:shd w:val="clear" w:color="auto" w:fill="FFFFFF"/>
              </w:rPr>
              <w:t xml:space="preserve">, вимоги </w:t>
            </w:r>
            <w:r w:rsidR="0086338D" w:rsidRPr="00870B36">
              <w:rPr>
                <w:shd w:val="clear" w:color="auto" w:fill="FFFFFF"/>
              </w:rPr>
              <w:lastRenderedPageBreak/>
              <w:t>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lastRenderedPageBreak/>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4B31EFCA" w:rsidR="00EB3768" w:rsidRDefault="00EB3768" w:rsidP="00EB3768">
            <w:pPr>
              <w:widowControl w:val="0"/>
              <w:ind w:left="34" w:right="113"/>
              <w:contextualSpacing/>
              <w:jc w:val="both"/>
              <w:rPr>
                <w:b/>
                <w:lang w:val="ru-RU"/>
              </w:rPr>
            </w:pPr>
            <w:bookmarkStart w:id="6"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32687B">
              <w:rPr>
                <w:b/>
                <w:lang w:val="ru-RU"/>
              </w:rPr>
              <w:t>0</w:t>
            </w:r>
            <w:r w:rsidR="00A16C9A">
              <w:rPr>
                <w:b/>
                <w:lang w:val="ru-RU"/>
              </w:rPr>
              <w:t>4</w:t>
            </w:r>
            <w:r w:rsidR="0086338D" w:rsidRPr="0083421E">
              <w:rPr>
                <w:b/>
                <w:lang w:val="ru-RU"/>
              </w:rPr>
              <w:t xml:space="preserve">» </w:t>
            </w:r>
            <w:r w:rsidR="0032687B">
              <w:rPr>
                <w:b/>
                <w:lang w:val="ru-RU"/>
              </w:rPr>
              <w:t>травня</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A16C9A">
              <w:rPr>
                <w:b/>
                <w:lang w:val="ru-RU"/>
              </w:rPr>
              <w:t>2</w:t>
            </w:r>
            <w:bookmarkStart w:id="7" w:name="_GoBack"/>
            <w:bookmarkEnd w:id="7"/>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001A0D47" w:rsidRPr="00B75EDC">
              <w:rPr>
                <w:shd w:val="clear" w:color="auto" w:fill="FFFFFF"/>
                <w:lang w:val="uk-UA"/>
              </w:rPr>
              <w:lastRenderedPageBreak/>
              <w:t>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00336453" w:rsidRPr="00383981">
              <w:rPr>
                <w:color w:val="000000"/>
                <w:shd w:val="solid" w:color="FFFFFF" w:fill="FFFFFF"/>
                <w:lang w:eastAsia="en-US"/>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3BCC99DE" w14:textId="3A8D74CD" w:rsidR="002749B3" w:rsidRDefault="002749B3" w:rsidP="002749B3">
            <w:pPr>
              <w:pStyle w:val="aa"/>
              <w:spacing w:before="150" w:after="150"/>
              <w:jc w:val="both"/>
              <w:rPr>
                <w:color w:val="000000"/>
                <w:lang w:val="uk-UA"/>
              </w:rPr>
            </w:pPr>
            <w:r>
              <w:rPr>
                <w:color w:val="000000"/>
                <w:lang w:val="uk-UA"/>
              </w:rPr>
              <w:t>підпадає під підстави, встановлені пунктом 47 особливостей;</w:t>
            </w:r>
          </w:p>
          <w:p w14:paraId="6B324979" w14:textId="4F54F98F"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 xml:space="preserve">татів відкритих торгів, яку замовником виявлено згідно з абзацом другим пункту </w:t>
            </w:r>
            <w:r w:rsidR="002749B3">
              <w:rPr>
                <w:color w:val="000000"/>
                <w:lang w:val="uk-UA"/>
              </w:rPr>
              <w:t>42</w:t>
            </w:r>
            <w:r w:rsidR="002749B3">
              <w:rPr>
                <w:color w:val="000000"/>
              </w:rPr>
              <w:t xml:space="preserve"> </w:t>
            </w:r>
            <w:r w:rsidRPr="001A0D47">
              <w:rPr>
                <w:color w:val="000000"/>
              </w:rPr>
              <w:t xml:space="preserve">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0EAC681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002749B3">
              <w:rPr>
                <w:color w:val="000000"/>
                <w:lang w:val="uk-UA"/>
              </w:rPr>
              <w:t>першим</w:t>
            </w:r>
            <w:proofErr w:type="gramEnd"/>
            <w:r w:rsidR="002749B3">
              <w:rPr>
                <w:color w:val="000000"/>
                <w:lang w:val="uk-UA"/>
              </w:rPr>
              <w:t xml:space="preserve"> частини чотирнадцятої статті 29 Закону/абзацом дев’ятим пункту 37</w:t>
            </w:r>
            <w:r w:rsidRPr="001A0D47">
              <w:rPr>
                <w:color w:val="000000"/>
              </w:rPr>
              <w:t xml:space="preserve"> </w:t>
            </w:r>
            <w:r>
              <w:rPr>
                <w:color w:val="000000"/>
                <w:lang w:val="uk-UA"/>
              </w:rPr>
              <w:t>О</w:t>
            </w:r>
            <w:r w:rsidRPr="001A0D47">
              <w:rPr>
                <w:color w:val="000000"/>
              </w:rPr>
              <w:t>собливостей;</w:t>
            </w:r>
          </w:p>
          <w:p w14:paraId="69C19A49" w14:textId="2D84BEDA"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пункту </w:t>
            </w:r>
            <w:r w:rsidR="002749B3">
              <w:rPr>
                <w:color w:val="000000"/>
                <w:lang w:val="uk-UA"/>
              </w:rPr>
              <w:t>40</w:t>
            </w:r>
            <w:r w:rsidRPr="001A0D47">
              <w:rPr>
                <w:color w:val="000000"/>
              </w:rPr>
              <w:t xml:space="preserve">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 xml:space="preserve">ої </w:t>
            </w:r>
            <w:r w:rsidR="00BF313E">
              <w:rPr>
                <w:color w:val="000000"/>
              </w:rPr>
              <w:lastRenderedPageBreak/>
              <w:t>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2749B3" w:rsidRDefault="001A0D47" w:rsidP="001A0D47">
            <w:pPr>
              <w:pStyle w:val="aa"/>
              <w:spacing w:before="150" w:after="150"/>
              <w:jc w:val="both"/>
              <w:rPr>
                <w:color w:val="000000"/>
                <w:lang w:val="uk-UA"/>
              </w:rPr>
            </w:pPr>
            <w:r w:rsidRPr="002749B3">
              <w:rPr>
                <w:color w:val="000000"/>
                <w:lang w:val="uk-UA"/>
              </w:rPr>
              <w:t>2) тендерна пропозиція:</w:t>
            </w:r>
          </w:p>
          <w:p w14:paraId="4F9E816A" w14:textId="63B525B1" w:rsidR="001A0D47" w:rsidRPr="002749B3" w:rsidRDefault="001A0D47" w:rsidP="001A0D47">
            <w:pPr>
              <w:pStyle w:val="aa"/>
              <w:spacing w:before="150" w:after="150"/>
              <w:jc w:val="both"/>
              <w:rPr>
                <w:color w:val="000000"/>
                <w:lang w:val="uk-UA"/>
              </w:rPr>
            </w:pPr>
            <w:r w:rsidRPr="002749B3">
              <w:rPr>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2749B3">
              <w:rPr>
                <w:color w:val="000000"/>
                <w:lang w:val="uk-UA"/>
              </w:rPr>
              <w:t>43</w:t>
            </w:r>
            <w:r w:rsidRPr="002749B3">
              <w:rPr>
                <w:color w:val="000000"/>
                <w:lang w:val="uk-UA"/>
              </w:rPr>
              <w:t xml:space="preserve"> особливостей;</w:t>
            </w:r>
          </w:p>
          <w:p w14:paraId="2C96A6E6" w14:textId="77777777" w:rsidR="001A0D47" w:rsidRPr="0032687B" w:rsidRDefault="001A0D47" w:rsidP="001A0D47">
            <w:pPr>
              <w:pStyle w:val="aa"/>
              <w:spacing w:before="150" w:after="150"/>
              <w:jc w:val="both"/>
              <w:rPr>
                <w:color w:val="000000"/>
                <w:lang w:val="uk-UA"/>
              </w:rPr>
            </w:pPr>
            <w:r w:rsidRPr="0032687B">
              <w:rPr>
                <w:color w:val="000000"/>
                <w:lang w:val="uk-UA"/>
              </w:rPr>
              <w:t>є такою, строк дії якої закінчився;</w:t>
            </w:r>
          </w:p>
          <w:p w14:paraId="4AF9FAE7" w14:textId="14D59BD0" w:rsidR="001A0D47" w:rsidRPr="0032687B" w:rsidRDefault="001A0D47" w:rsidP="001A0D47">
            <w:pPr>
              <w:pStyle w:val="aa"/>
              <w:spacing w:before="150" w:after="150"/>
              <w:jc w:val="both"/>
              <w:rPr>
                <w:color w:val="000000"/>
                <w:lang w:val="uk-UA"/>
              </w:rPr>
            </w:pPr>
            <w:r w:rsidRPr="0032687B">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38321FD1"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w:t>
            </w:r>
            <w:r w:rsidR="002749B3">
              <w:rPr>
                <w:color w:val="000000"/>
                <w:lang w:val="uk-UA"/>
              </w:rPr>
              <w:t xml:space="preserve"> у </w:t>
            </w:r>
            <w:r w:rsidR="002749B3">
              <w:rPr>
                <w:color w:val="000000"/>
                <w:lang w:val="uk-UA"/>
              </w:rPr>
              <w:lastRenderedPageBreak/>
              <w:t>підпунктах 3,5,6 і 12</w:t>
            </w:r>
            <w:r w:rsidR="002749B3">
              <w:rPr>
                <w:color w:val="000000"/>
              </w:rPr>
              <w:t xml:space="preserve"> пунк</w:t>
            </w:r>
            <w:r w:rsidR="002749B3">
              <w:rPr>
                <w:color w:val="000000"/>
                <w:lang w:val="uk-UA"/>
              </w:rPr>
              <w:t>у</w:t>
            </w:r>
            <w:r w:rsidR="005C55C6">
              <w:rPr>
                <w:color w:val="000000"/>
              </w:rPr>
              <w:t xml:space="preserve"> 4</w:t>
            </w:r>
            <w:r w:rsidR="005C55C6">
              <w:rPr>
                <w:color w:val="000000"/>
                <w:lang w:val="uk-UA"/>
              </w:rPr>
              <w:t>7</w:t>
            </w:r>
            <w:r w:rsidRPr="001A0D47">
              <w:rPr>
                <w:color w:val="000000"/>
              </w:rPr>
              <w:t xml:space="preserve"> цих особливостей;</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0738C3E6"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 xml:space="preserve">і, яку замовником виявлено згідно з абзацом </w:t>
            </w:r>
            <w:r w:rsidR="001803E9">
              <w:rPr>
                <w:color w:val="000000"/>
                <w:lang w:val="uk-UA"/>
              </w:rPr>
              <w:t>першим</w:t>
            </w:r>
            <w:r w:rsidRPr="001A0D47">
              <w:rPr>
                <w:color w:val="000000"/>
              </w:rPr>
              <w:t xml:space="preserve"> пункту </w:t>
            </w:r>
            <w:r w:rsidR="001803E9">
              <w:rPr>
                <w:color w:val="000000"/>
                <w:lang w:val="uk-UA"/>
              </w:rPr>
              <w:t>42</w:t>
            </w:r>
            <w:r w:rsidRPr="001A0D47">
              <w:rPr>
                <w:color w:val="000000"/>
              </w:rPr>
              <w:t xml:space="preserve">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288A8CBF" w:rsidR="0086338D" w:rsidRPr="00AC0364" w:rsidRDefault="0086338D" w:rsidP="0086338D">
            <w:pPr>
              <w:pStyle w:val="aa"/>
              <w:numPr>
                <w:ilvl w:val="0"/>
                <w:numId w:val="20"/>
              </w:numPr>
              <w:spacing w:before="0" w:beforeAutospacing="0" w:after="150" w:afterAutospacing="0"/>
              <w:jc w:val="both"/>
              <w:textAlignment w:val="baseline"/>
              <w:rPr>
                <w:color w:val="000000"/>
                <w:lang w:val="uk-UA"/>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w:t>
            </w:r>
            <w:r w:rsidR="009710AB">
              <w:rPr>
                <w:color w:val="000000"/>
                <w:lang w:val="uk-UA"/>
              </w:rPr>
              <w:t xml:space="preserve"> його дострокового розірвання і</w:t>
            </w:r>
            <w:r>
              <w:rPr>
                <w:color w:val="000000"/>
              </w:rPr>
              <w:t xml:space="preserve"> застосування санкції у вигляді штрафів та/або відшкодування збитків протягом трьох років з дати</w:t>
            </w:r>
            <w:r w:rsidR="009710AB">
              <w:rPr>
                <w:color w:val="000000"/>
                <w:lang w:val="uk-UA"/>
              </w:rPr>
              <w:t xml:space="preserve"> дострокового розірвання такого договору.</w:t>
            </w:r>
            <w:r>
              <w:rPr>
                <w:color w:val="000000"/>
              </w:rPr>
              <w:t xml:space="preserve"> </w:t>
            </w:r>
            <w:r w:rsidR="009710AB">
              <w:rPr>
                <w:color w:val="000000"/>
                <w:lang w:val="uk-UA"/>
              </w:rPr>
              <w:t xml:space="preserve">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w:t>
            </w:r>
            <w:r w:rsidR="00AC0364">
              <w:rPr>
                <w:color w:val="000000"/>
                <w:lang w:val="uk-UA"/>
              </w:rPr>
              <w:t>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9E2A6F" w14:textId="77777777" w:rsidR="0086338D" w:rsidRDefault="00D81764" w:rsidP="00AA2844">
            <w:pPr>
              <w:pStyle w:val="aa"/>
              <w:spacing w:before="150" w:beforeAutospacing="0" w:after="150" w:afterAutospacing="0"/>
              <w:jc w:val="both"/>
              <w:rPr>
                <w:lang w:val="uk-UA"/>
              </w:rPr>
            </w:pPr>
            <w:r>
              <w:rPr>
                <w:lang w:val="uk-UA"/>
              </w:rPr>
              <w:t>5.2.</w:t>
            </w:r>
            <w:r w:rsidR="00AA2844">
              <w:rPr>
                <w:lang w:val="uk-UA"/>
              </w:rPr>
              <w:t>3</w:t>
            </w:r>
            <w:r>
              <w:rPr>
                <w:lang w:val="uk-UA"/>
              </w:rPr>
              <w:t xml:space="preserve">. </w:t>
            </w:r>
            <w:r w:rsidR="0086338D" w:rsidRPr="0032687B">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41D575" w14:textId="4F0B06C6" w:rsidR="00AA2844" w:rsidRPr="000776C0" w:rsidRDefault="00AA2844" w:rsidP="00AA2844">
            <w:pPr>
              <w:pStyle w:val="aa"/>
              <w:spacing w:before="150" w:beforeAutospacing="0" w:after="150" w:afterAutospacing="0"/>
              <w:jc w:val="both"/>
              <w:rPr>
                <w:lang w:val="uk-UA"/>
              </w:rPr>
            </w:pPr>
            <w:r>
              <w:rPr>
                <w:lang w:val="uk-UA"/>
              </w:rPr>
              <w:t xml:space="preserve">5.2.4 У разі </w:t>
            </w:r>
            <w:r w:rsidR="000776C0">
              <w:rPr>
                <w:lang w:val="uk-UA"/>
              </w:rPr>
              <w:t xml:space="preserve">коли </w:t>
            </w:r>
            <w:r>
              <w:rPr>
                <w:lang w:val="uk-UA"/>
              </w:rPr>
              <w:t>учасни</w:t>
            </w:r>
            <w:r w:rsidR="000776C0">
              <w:rPr>
                <w:lang w:val="uk-UA"/>
              </w:rPr>
              <w:t xml:space="preserve">к процедури закупівлі, тендерна пропозиція якого відхилена, вважає недостатньою аргументацію, зазначену у повідомленні, такий учасник може звернутись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обов’язаний надати йому відповідь з такою інформацією не пізніше як </w:t>
            </w:r>
            <w:r w:rsidR="000776C0" w:rsidRPr="000776C0">
              <w:rPr>
                <w:b/>
                <w:lang w:val="uk-UA"/>
              </w:rPr>
              <w:t>через чотири дні</w:t>
            </w:r>
            <w:r w:rsidR="000776C0">
              <w:rPr>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000776C0">
              <w:rPr>
                <w:lang w:val="uk-UA"/>
              </w:rPr>
              <w:lastRenderedPageBreak/>
              <w:t>10 Закону.</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 xml:space="preserve">У разі відміни відкритих торгів замовник протягом </w:t>
            </w:r>
            <w:r w:rsidR="0086338D" w:rsidRPr="00005E1D">
              <w:rPr>
                <w:b/>
                <w:color w:val="000000"/>
                <w:lang w:val="uk-UA"/>
              </w:rPr>
              <w:t>одного робочого дня з</w:t>
            </w:r>
            <w:r w:rsidR="0086338D" w:rsidRPr="00D81764">
              <w:rPr>
                <w:color w:val="000000"/>
                <w:lang w:val="uk-UA"/>
              </w:rPr>
              <w:t xml:space="preserve">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52366C34"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особливостями;</w:t>
            </w:r>
          </w:p>
          <w:p w14:paraId="24D5E00A" w14:textId="0CE1DAF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 xml:space="preserve">Електронною системою закупівель автоматично протягом </w:t>
            </w:r>
            <w:r w:rsidR="0086338D" w:rsidRPr="00005E1D">
              <w:rPr>
                <w:b/>
                <w:color w:val="000000"/>
              </w:rPr>
              <w:t>одного робочого дня</w:t>
            </w:r>
            <w:r w:rsidR="0086338D">
              <w:rPr>
                <w:color w:val="000000"/>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 xml:space="preserve">Рішення про намір укласти договір про закупівлю приймається замовником відповідно до статті 33 Закону та </w:t>
            </w:r>
            <w:r w:rsidR="0086338D" w:rsidRPr="00082628">
              <w:rPr>
                <w:color w:val="000000"/>
                <w:shd w:val="solid" w:color="FFFFFF" w:fill="FFFFFF"/>
                <w:lang w:eastAsia="en-US"/>
              </w:rPr>
              <w:lastRenderedPageBreak/>
              <w:t>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lastRenderedPageBreak/>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w:t>
            </w:r>
            <w:r w:rsidR="0086338D" w:rsidRPr="00623912">
              <w:rPr>
                <w:color w:val="000000"/>
                <w:shd w:val="solid" w:color="FFFFFF" w:fill="FFFFFF"/>
                <w:lang w:eastAsia="en-US"/>
              </w:rPr>
              <w:lastRenderedPageBreak/>
              <w:t>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24F5" w14:textId="77777777" w:rsidR="0013153C" w:rsidRDefault="0013153C" w:rsidP="00207BBB">
      <w:pPr>
        <w:pStyle w:val="CharChar"/>
      </w:pPr>
      <w:r>
        <w:separator/>
      </w:r>
    </w:p>
  </w:endnote>
  <w:endnote w:type="continuationSeparator" w:id="0">
    <w:p w14:paraId="38FE5CA9" w14:textId="77777777" w:rsidR="0013153C" w:rsidRDefault="0013153C"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A16C9A">
      <w:rPr>
        <w:rStyle w:val="a3"/>
        <w:noProof/>
      </w:rPr>
      <w:t>17</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67953" w14:textId="77777777" w:rsidR="0013153C" w:rsidRDefault="0013153C" w:rsidP="00207BBB">
      <w:pPr>
        <w:pStyle w:val="CharChar"/>
      </w:pPr>
      <w:r>
        <w:separator/>
      </w:r>
    </w:p>
  </w:footnote>
  <w:footnote w:type="continuationSeparator" w:id="0">
    <w:p w14:paraId="0B5E7EC4" w14:textId="77777777" w:rsidR="0013153C" w:rsidRDefault="0013153C"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5E1D"/>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A5A"/>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776C0"/>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0F5CA8"/>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153C"/>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03E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D6311"/>
    <w:rsid w:val="001E07B1"/>
    <w:rsid w:val="001E474B"/>
    <w:rsid w:val="001E631B"/>
    <w:rsid w:val="001E694A"/>
    <w:rsid w:val="001E6C4C"/>
    <w:rsid w:val="001E748B"/>
    <w:rsid w:val="001F043A"/>
    <w:rsid w:val="001F1142"/>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144"/>
    <w:rsid w:val="00264609"/>
    <w:rsid w:val="00265D8A"/>
    <w:rsid w:val="0026620F"/>
    <w:rsid w:val="002667BA"/>
    <w:rsid w:val="00267EB6"/>
    <w:rsid w:val="00270753"/>
    <w:rsid w:val="0027132E"/>
    <w:rsid w:val="00271375"/>
    <w:rsid w:val="0027255C"/>
    <w:rsid w:val="0027359F"/>
    <w:rsid w:val="002749B3"/>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18B8"/>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6CF"/>
    <w:rsid w:val="003259E4"/>
    <w:rsid w:val="003265CA"/>
    <w:rsid w:val="00326606"/>
    <w:rsid w:val="00326825"/>
    <w:rsid w:val="0032687B"/>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24E"/>
    <w:rsid w:val="00366BCC"/>
    <w:rsid w:val="00367493"/>
    <w:rsid w:val="003679ED"/>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3B3"/>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993"/>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2FD0"/>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5E85"/>
    <w:rsid w:val="005E7F90"/>
    <w:rsid w:val="005E7FD4"/>
    <w:rsid w:val="005F0146"/>
    <w:rsid w:val="005F09A7"/>
    <w:rsid w:val="005F1EAA"/>
    <w:rsid w:val="005F20A6"/>
    <w:rsid w:val="005F3408"/>
    <w:rsid w:val="005F443D"/>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1F46"/>
    <w:rsid w:val="007639C2"/>
    <w:rsid w:val="00764541"/>
    <w:rsid w:val="007647F9"/>
    <w:rsid w:val="00765382"/>
    <w:rsid w:val="0076634A"/>
    <w:rsid w:val="0076652B"/>
    <w:rsid w:val="00766591"/>
    <w:rsid w:val="0076666B"/>
    <w:rsid w:val="00766E6B"/>
    <w:rsid w:val="00767345"/>
    <w:rsid w:val="00767DBC"/>
    <w:rsid w:val="00770A69"/>
    <w:rsid w:val="007710B8"/>
    <w:rsid w:val="00772292"/>
    <w:rsid w:val="00772686"/>
    <w:rsid w:val="00773460"/>
    <w:rsid w:val="0077405F"/>
    <w:rsid w:val="00774E32"/>
    <w:rsid w:val="007750A6"/>
    <w:rsid w:val="007760A0"/>
    <w:rsid w:val="007762C6"/>
    <w:rsid w:val="007772A7"/>
    <w:rsid w:val="00777D60"/>
    <w:rsid w:val="00781674"/>
    <w:rsid w:val="00781EA5"/>
    <w:rsid w:val="00782172"/>
    <w:rsid w:val="00782450"/>
    <w:rsid w:val="0078330D"/>
    <w:rsid w:val="00783F89"/>
    <w:rsid w:val="007857D8"/>
    <w:rsid w:val="0078709E"/>
    <w:rsid w:val="00790CA5"/>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5C3B"/>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760"/>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6D7F"/>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0AB"/>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28D4"/>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0DC0"/>
    <w:rsid w:val="009F1DC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C9A"/>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844"/>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364"/>
    <w:rsid w:val="00AC07FC"/>
    <w:rsid w:val="00AC09EF"/>
    <w:rsid w:val="00AC0D93"/>
    <w:rsid w:val="00AC30F6"/>
    <w:rsid w:val="00AC344B"/>
    <w:rsid w:val="00AC4D25"/>
    <w:rsid w:val="00AC4F4E"/>
    <w:rsid w:val="00AD07C9"/>
    <w:rsid w:val="00AD1832"/>
    <w:rsid w:val="00AD277C"/>
    <w:rsid w:val="00AD2D30"/>
    <w:rsid w:val="00AD2DE3"/>
    <w:rsid w:val="00AD369F"/>
    <w:rsid w:val="00AD3948"/>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5B3"/>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4119"/>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5ED0"/>
    <w:rsid w:val="00BF7758"/>
    <w:rsid w:val="00C0045A"/>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101A"/>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56C"/>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462"/>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1E4"/>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182C"/>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3CAD"/>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0D57-5C54-4517-9E42-9B583E85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26</Pages>
  <Words>40835</Words>
  <Characters>23277</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268</cp:revision>
  <cp:lastPrinted>2023-03-06T16:53:00Z</cp:lastPrinted>
  <dcterms:created xsi:type="dcterms:W3CDTF">2022-10-20T10:48:00Z</dcterms:created>
  <dcterms:modified xsi:type="dcterms:W3CDTF">2024-04-26T11:19:00Z</dcterms:modified>
</cp:coreProperties>
</file>