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E039" w14:textId="4754216C" w:rsidR="00A265A3" w:rsidRPr="00340933" w:rsidRDefault="00FD4282" w:rsidP="00A749B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Проект договору</w:t>
      </w:r>
    </w:p>
    <w:p w14:paraId="3E36D46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p>
    <w:p w14:paraId="5880651D" w14:textId="22B115C4"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 Київ</w:t>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00DD7FDD">
        <w:rPr>
          <w:rFonts w:ascii="Times New Roman" w:hAnsi="Times New Roman"/>
        </w:rPr>
        <w:tab/>
      </w:r>
      <w:r w:rsidR="00DD7FDD">
        <w:rPr>
          <w:rFonts w:ascii="Times New Roman" w:hAnsi="Times New Roman"/>
        </w:rPr>
        <w:tab/>
      </w:r>
      <w:r w:rsidR="00DD7FDD">
        <w:rPr>
          <w:rFonts w:ascii="Times New Roman" w:hAnsi="Times New Roman"/>
        </w:rPr>
        <w:tab/>
      </w:r>
      <w:r w:rsidRPr="00006AA8">
        <w:rPr>
          <w:rFonts w:ascii="Times New Roman" w:hAnsi="Times New Roman"/>
        </w:rPr>
        <w:t>“_____” _____________ 202</w:t>
      </w:r>
      <w:r w:rsidR="00DD7FDD">
        <w:rPr>
          <w:rFonts w:ascii="Times New Roman" w:hAnsi="Times New Roman"/>
        </w:rPr>
        <w:t>3</w:t>
      </w:r>
      <w:r w:rsidRPr="00006AA8">
        <w:rPr>
          <w:rFonts w:ascii="Times New Roman" w:hAnsi="Times New Roman"/>
        </w:rPr>
        <w:t xml:space="preserve"> року.</w:t>
      </w:r>
    </w:p>
    <w:p w14:paraId="50B3EB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2162DD53" w14:textId="0D9DE4F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006AA8">
        <w:rPr>
          <w:rFonts w:ascii="Times New Roman" w:hAnsi="Times New Roman"/>
        </w:rPr>
        <w:t>Казмірчука</w:t>
      </w:r>
      <w:proofErr w:type="spellEnd"/>
      <w:r w:rsidRPr="00006AA8">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w:t>
      </w:r>
      <w:r w:rsidR="005B4DB7" w:rsidRPr="005B4DB7">
        <w:rPr>
          <w:rFonts w:ascii="Times New Roman" w:hAnsi="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5B4DB7" w:rsidRPr="005B4DB7">
        <w:rPr>
          <w:rFonts w:ascii="Times New Roman" w:hAnsi="Times New Roman"/>
        </w:rPr>
        <w:t>закупівель</w:t>
      </w:r>
      <w:proofErr w:type="spellEnd"/>
      <w:r w:rsidR="005B4DB7" w:rsidRPr="005B4DB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8D17338"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Предмет Договору</w:t>
      </w:r>
    </w:p>
    <w:p w14:paraId="463E22C8" w14:textId="7B6F61D9" w:rsidR="00A265A3" w:rsidRPr="00006AA8" w:rsidRDefault="00A265A3" w:rsidP="001F30F1">
      <w:pPr>
        <w:spacing w:after="0" w:line="240" w:lineRule="auto"/>
        <w:jc w:val="both"/>
        <w:rPr>
          <w:rFonts w:ascii="Times New Roman" w:hAnsi="Times New Roman"/>
          <w:color w:val="000000"/>
        </w:rPr>
      </w:pPr>
      <w:r w:rsidRPr="00006AA8">
        <w:rPr>
          <w:rFonts w:ascii="Times New Roman" w:hAnsi="Times New Roman"/>
        </w:rPr>
        <w:t>1.1. Постачальник</w:t>
      </w:r>
      <w:r w:rsidRPr="00006AA8">
        <w:rPr>
          <w:rFonts w:ascii="Times New Roman" w:hAnsi="Times New Roman"/>
          <w:bCs/>
        </w:rPr>
        <w:t xml:space="preserve"> зобов'язується</w:t>
      </w:r>
      <w:r w:rsidRPr="00006AA8">
        <w:rPr>
          <w:rFonts w:ascii="Times New Roman" w:hAnsi="Times New Roman"/>
        </w:rPr>
        <w:t xml:space="preserve">  своєчасно поставляти та передавати у власність </w:t>
      </w:r>
      <w:r w:rsidRPr="00006AA8">
        <w:rPr>
          <w:rFonts w:ascii="Times New Roman" w:hAnsi="Times New Roman"/>
          <w:bCs/>
        </w:rPr>
        <w:t>Замовника</w:t>
      </w:r>
      <w:r w:rsidRPr="00006AA8">
        <w:rPr>
          <w:rFonts w:ascii="Times New Roman" w:hAnsi="Times New Roman"/>
        </w:rPr>
        <w:t xml:space="preserve"> "Товар" – </w:t>
      </w:r>
      <w:r w:rsidR="001F30F1" w:rsidRPr="001F30F1">
        <w:rPr>
          <w:rFonts w:ascii="Times New Roman" w:hAnsi="Times New Roman"/>
          <w:color w:val="000000"/>
        </w:rPr>
        <w:t xml:space="preserve">" </w:t>
      </w:r>
      <w:r w:rsidR="00E05D0B" w:rsidRPr="00E05D0B">
        <w:rPr>
          <w:rFonts w:ascii="Times New Roman" w:hAnsi="Times New Roman"/>
          <w:color w:val="000000"/>
        </w:rPr>
        <w:t xml:space="preserve"> </w:t>
      </w:r>
      <w:r w:rsidR="00460C54" w:rsidRPr="00460C54">
        <w:rPr>
          <w:rFonts w:ascii="Times New Roman" w:hAnsi="Times New Roman"/>
          <w:color w:val="000000"/>
        </w:rPr>
        <w:t>Фармацевтична продукція, код 33600000-6 за ДК 021:2015 «Єдиний закупівельний словник» (</w:t>
      </w:r>
      <w:proofErr w:type="spellStart"/>
      <w:r w:rsidR="00460C54" w:rsidRPr="00460C54">
        <w:rPr>
          <w:rFonts w:ascii="Times New Roman" w:hAnsi="Times New Roman"/>
          <w:color w:val="000000"/>
        </w:rPr>
        <w:t>Cynara</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scolymus</w:t>
      </w:r>
      <w:proofErr w:type="spellEnd"/>
      <w:r w:rsidR="00460C54" w:rsidRPr="00460C54">
        <w:rPr>
          <w:rFonts w:ascii="Times New Roman" w:hAnsi="Times New Roman"/>
          <w:color w:val="000000"/>
        </w:rPr>
        <w:t xml:space="preserve">** - код 33612000-3 за ДК 021:2015 Лікарські засоби для лікування функціональних розладів шлунково-кишкового тракту; </w:t>
      </w:r>
      <w:proofErr w:type="spellStart"/>
      <w:r w:rsidR="00460C54" w:rsidRPr="00460C54">
        <w:rPr>
          <w:rFonts w:ascii="Times New Roman" w:hAnsi="Times New Roman"/>
          <w:color w:val="000000"/>
        </w:rPr>
        <w:t>Metformin</w:t>
      </w:r>
      <w:proofErr w:type="spellEnd"/>
      <w:r w:rsidR="00460C54" w:rsidRPr="00460C54">
        <w:rPr>
          <w:rFonts w:ascii="Times New Roman" w:hAnsi="Times New Roman"/>
          <w:color w:val="000000"/>
        </w:rPr>
        <w:t xml:space="preserve">- код 33615000-4 за ДК 021:2015 </w:t>
      </w:r>
      <w:proofErr w:type="spellStart"/>
      <w:r w:rsidR="00460C54" w:rsidRPr="00460C54">
        <w:rPr>
          <w:rFonts w:ascii="Times New Roman" w:hAnsi="Times New Roman"/>
          <w:color w:val="000000"/>
        </w:rPr>
        <w:t>Протидіабетичні</w:t>
      </w:r>
      <w:proofErr w:type="spellEnd"/>
      <w:r w:rsidR="00460C54" w:rsidRPr="00460C54">
        <w:rPr>
          <w:rFonts w:ascii="Times New Roman" w:hAnsi="Times New Roman"/>
          <w:color w:val="000000"/>
        </w:rPr>
        <w:t xml:space="preserve"> лікарські засоби; </w:t>
      </w:r>
      <w:proofErr w:type="spellStart"/>
      <w:r w:rsidR="00460C54" w:rsidRPr="00460C54">
        <w:rPr>
          <w:rFonts w:ascii="Times New Roman" w:hAnsi="Times New Roman"/>
          <w:color w:val="000000"/>
        </w:rPr>
        <w:t>Retinol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vit</w:t>
      </w:r>
      <w:proofErr w:type="spellEnd"/>
      <w:r w:rsidR="00460C54" w:rsidRPr="00460C54">
        <w:rPr>
          <w:rFonts w:ascii="Times New Roman" w:hAnsi="Times New Roman"/>
          <w:color w:val="000000"/>
        </w:rPr>
        <w:t xml:space="preserve"> A) - код 33616000-1 за ДК 021:2015 «Єдиний закупівельний словник»  - Вітаміни; </w:t>
      </w:r>
      <w:proofErr w:type="spellStart"/>
      <w:r w:rsidR="00460C54" w:rsidRPr="00460C54">
        <w:rPr>
          <w:rFonts w:ascii="Times New Roman" w:hAnsi="Times New Roman"/>
          <w:color w:val="000000"/>
        </w:rPr>
        <w:t>Ascorbic</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acid</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vit</w:t>
      </w:r>
      <w:proofErr w:type="spellEnd"/>
      <w:r w:rsidR="00460C54" w:rsidRPr="00460C54">
        <w:rPr>
          <w:rFonts w:ascii="Times New Roman" w:hAnsi="Times New Roman"/>
          <w:color w:val="000000"/>
        </w:rPr>
        <w:t xml:space="preserve"> C) - код 33616000-1 за ДК 021:2015 «Єдиний закупівельний словник» - Вітаміни; </w:t>
      </w:r>
      <w:proofErr w:type="spellStart"/>
      <w:r w:rsidR="00460C54" w:rsidRPr="00460C54">
        <w:rPr>
          <w:rFonts w:ascii="Times New Roman" w:hAnsi="Times New Roman"/>
          <w:color w:val="000000"/>
        </w:rPr>
        <w:t>Tocopherol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vit</w:t>
      </w:r>
      <w:proofErr w:type="spellEnd"/>
      <w:r w:rsidR="00460C54" w:rsidRPr="00460C54">
        <w:rPr>
          <w:rFonts w:ascii="Times New Roman" w:hAnsi="Times New Roman"/>
          <w:color w:val="000000"/>
        </w:rPr>
        <w:t xml:space="preserve"> E) - код 33616000-1 за ДК 021:2015 «Єдиний закупівельний словник» - Вітаміни; </w:t>
      </w:r>
      <w:proofErr w:type="spellStart"/>
      <w:r w:rsidR="00460C54" w:rsidRPr="00460C54">
        <w:rPr>
          <w:rFonts w:ascii="Times New Roman" w:hAnsi="Times New Roman"/>
          <w:color w:val="000000"/>
        </w:rPr>
        <w:t>Thioctic</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acid</w:t>
      </w:r>
      <w:proofErr w:type="spellEnd"/>
      <w:r w:rsidR="00460C54" w:rsidRPr="00460C54">
        <w:rPr>
          <w:rFonts w:ascii="Times New Roman" w:hAnsi="Times New Roman"/>
          <w:color w:val="000000"/>
        </w:rPr>
        <w:t xml:space="preserve"> - код 33612000-3 за ДК 021:2015 - Лікарські засоби для лікування функціональних розладів шлунково-кишкового тракту; </w:t>
      </w:r>
      <w:proofErr w:type="spellStart"/>
      <w:r w:rsidR="00460C54" w:rsidRPr="00460C54">
        <w:rPr>
          <w:rFonts w:ascii="Times New Roman" w:hAnsi="Times New Roman"/>
          <w:color w:val="000000"/>
        </w:rPr>
        <w:t>Etamsylate</w:t>
      </w:r>
      <w:proofErr w:type="spellEnd"/>
      <w:r w:rsidR="00460C54" w:rsidRPr="00460C54">
        <w:rPr>
          <w:rFonts w:ascii="Times New Roman" w:hAnsi="Times New Roman"/>
          <w:color w:val="000000"/>
        </w:rPr>
        <w:t xml:space="preserve"> - код 33621200-1 за ДК 021:2015 «Єдиний закупівельний словник» - Кровоспинні засоби; </w:t>
      </w:r>
      <w:proofErr w:type="spellStart"/>
      <w:r w:rsidR="00460C54" w:rsidRPr="00460C54">
        <w:rPr>
          <w:rFonts w:ascii="Times New Roman" w:hAnsi="Times New Roman"/>
          <w:color w:val="000000"/>
        </w:rPr>
        <w:t>Molsidomine</w:t>
      </w:r>
      <w:proofErr w:type="spellEnd"/>
      <w:r w:rsidR="00460C54" w:rsidRPr="00460C54">
        <w:rPr>
          <w:rFonts w:ascii="Times New Roman" w:hAnsi="Times New Roman"/>
          <w:color w:val="000000"/>
        </w:rPr>
        <w:t xml:space="preserve">  - код  33622100-7 за ДК 021:2015 - Кардіологічні лікарські засоби; </w:t>
      </w:r>
      <w:proofErr w:type="spellStart"/>
      <w:r w:rsidR="00460C54" w:rsidRPr="00460C54">
        <w:rPr>
          <w:rFonts w:ascii="Times New Roman" w:hAnsi="Times New Roman"/>
          <w:color w:val="000000"/>
        </w:rPr>
        <w:t>Indapamide</w:t>
      </w:r>
      <w:proofErr w:type="spellEnd"/>
      <w:r w:rsidR="00460C54" w:rsidRPr="00460C54">
        <w:rPr>
          <w:rFonts w:ascii="Times New Roman" w:hAnsi="Times New Roman"/>
          <w:color w:val="000000"/>
        </w:rPr>
        <w:t xml:space="preserve"> - код 33622300-9 за ДК 021:2015 «Єдиний закупівельний словник» - Сечогінні засоби; </w:t>
      </w:r>
      <w:proofErr w:type="spellStart"/>
      <w:r w:rsidR="00460C54" w:rsidRPr="00460C54">
        <w:rPr>
          <w:rFonts w:ascii="Times New Roman" w:hAnsi="Times New Roman"/>
          <w:color w:val="000000"/>
        </w:rPr>
        <w:t>Rutoside</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combinations</w:t>
      </w:r>
      <w:proofErr w:type="spellEnd"/>
      <w:r w:rsidR="00460C54" w:rsidRPr="00460C54">
        <w:rPr>
          <w:rFonts w:ascii="Times New Roman" w:hAnsi="Times New Roman"/>
          <w:color w:val="000000"/>
        </w:rPr>
        <w:t xml:space="preserve"> - код 33622400-0 за ДК 021:2015 «Єдиний закупівельний словник» - </w:t>
      </w:r>
      <w:proofErr w:type="spellStart"/>
      <w:r w:rsidR="00460C54" w:rsidRPr="00460C54">
        <w:rPr>
          <w:rFonts w:ascii="Times New Roman" w:hAnsi="Times New Roman"/>
          <w:color w:val="000000"/>
        </w:rPr>
        <w:t>Ангіопротектори</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Carvedilol</w:t>
      </w:r>
      <w:proofErr w:type="spellEnd"/>
      <w:r w:rsidR="00460C54" w:rsidRPr="00460C54">
        <w:rPr>
          <w:rFonts w:ascii="Times New Roman" w:hAnsi="Times New Roman"/>
          <w:color w:val="000000"/>
        </w:rPr>
        <w:t xml:space="preserve"> - код 33622100-7 за ДК 021:2015 «Єдиний закупівельний словник» - Кардіологічні лікарські засоби; </w:t>
      </w:r>
      <w:proofErr w:type="spellStart"/>
      <w:r w:rsidR="00460C54" w:rsidRPr="00460C54">
        <w:rPr>
          <w:rFonts w:ascii="Times New Roman" w:hAnsi="Times New Roman"/>
          <w:color w:val="000000"/>
        </w:rPr>
        <w:t>Lisinopril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and</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diuretics</w:t>
      </w:r>
      <w:proofErr w:type="spellEnd"/>
      <w:r w:rsidR="00460C54" w:rsidRPr="00460C54">
        <w:rPr>
          <w:rFonts w:ascii="Times New Roman" w:hAnsi="Times New Roman"/>
          <w:color w:val="000000"/>
        </w:rPr>
        <w:t xml:space="preserve"> - код 33622800-4 за ДК 021:2015 Блокатори ренін-</w:t>
      </w:r>
      <w:proofErr w:type="spellStart"/>
      <w:r w:rsidR="00460C54" w:rsidRPr="00460C54">
        <w:rPr>
          <w:rFonts w:ascii="Times New Roman" w:hAnsi="Times New Roman"/>
          <w:color w:val="000000"/>
        </w:rPr>
        <w:t>ангіотензинової</w:t>
      </w:r>
      <w:proofErr w:type="spellEnd"/>
      <w:r w:rsidR="00460C54" w:rsidRPr="00460C54">
        <w:rPr>
          <w:rFonts w:ascii="Times New Roman" w:hAnsi="Times New Roman"/>
          <w:color w:val="000000"/>
        </w:rPr>
        <w:t xml:space="preserve"> системи; </w:t>
      </w:r>
      <w:proofErr w:type="spellStart"/>
      <w:r w:rsidR="00460C54" w:rsidRPr="00460C54">
        <w:rPr>
          <w:rFonts w:ascii="Times New Roman" w:hAnsi="Times New Roman"/>
          <w:color w:val="000000"/>
        </w:rPr>
        <w:t>Lisinopril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and</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amlodipine</w:t>
      </w:r>
      <w:proofErr w:type="spellEnd"/>
      <w:r w:rsidR="00460C54" w:rsidRPr="00460C54">
        <w:rPr>
          <w:rFonts w:ascii="Times New Roman" w:hAnsi="Times New Roman"/>
          <w:color w:val="000000"/>
        </w:rPr>
        <w:t xml:space="preserve"> - код 33622800-4 за ДК 021:2015 - Блокатори ренін-</w:t>
      </w:r>
      <w:proofErr w:type="spellStart"/>
      <w:r w:rsidR="00460C54" w:rsidRPr="00460C54">
        <w:rPr>
          <w:rFonts w:ascii="Times New Roman" w:hAnsi="Times New Roman"/>
          <w:color w:val="000000"/>
        </w:rPr>
        <w:t>ангіотензинової</w:t>
      </w:r>
      <w:proofErr w:type="spellEnd"/>
      <w:r w:rsidR="00460C54" w:rsidRPr="00460C54">
        <w:rPr>
          <w:rFonts w:ascii="Times New Roman" w:hAnsi="Times New Roman"/>
          <w:color w:val="000000"/>
        </w:rPr>
        <w:t xml:space="preserve"> системи; </w:t>
      </w:r>
      <w:proofErr w:type="spellStart"/>
      <w:r w:rsidR="00460C54" w:rsidRPr="00460C54">
        <w:rPr>
          <w:rFonts w:ascii="Times New Roman" w:hAnsi="Times New Roman"/>
          <w:color w:val="000000"/>
        </w:rPr>
        <w:t>Terbinafine</w:t>
      </w:r>
      <w:proofErr w:type="spellEnd"/>
      <w:r w:rsidR="00460C54" w:rsidRPr="00460C54">
        <w:rPr>
          <w:rFonts w:ascii="Times New Roman" w:hAnsi="Times New Roman"/>
          <w:color w:val="000000"/>
        </w:rPr>
        <w:t xml:space="preserve"> - код 33631100-3 за ДК 021:2015 - Протигрибкові засоби для лікування дерматологічних захворювань; </w:t>
      </w:r>
      <w:proofErr w:type="spellStart"/>
      <w:r w:rsidR="00460C54" w:rsidRPr="00460C54">
        <w:rPr>
          <w:rFonts w:ascii="Times New Roman" w:hAnsi="Times New Roman"/>
          <w:color w:val="000000"/>
        </w:rPr>
        <w:t>Tamsulosin</w:t>
      </w:r>
      <w:proofErr w:type="spellEnd"/>
      <w:r w:rsidR="00460C54" w:rsidRPr="00460C54">
        <w:rPr>
          <w:rFonts w:ascii="Times New Roman" w:hAnsi="Times New Roman"/>
          <w:color w:val="000000"/>
        </w:rPr>
        <w:t xml:space="preserve"> - код 33640000-8 за ДК 021:2015 «Єдиний закупівельний словник» - Лікарські засоби для лікування захворювань сечостатевої системи та гормони; </w:t>
      </w:r>
      <w:proofErr w:type="spellStart"/>
      <w:r w:rsidR="00460C54" w:rsidRPr="00460C54">
        <w:rPr>
          <w:rFonts w:ascii="Times New Roman" w:hAnsi="Times New Roman"/>
          <w:color w:val="000000"/>
        </w:rPr>
        <w:t>Ibuprofen</w:t>
      </w:r>
      <w:proofErr w:type="spellEnd"/>
      <w:r w:rsidR="00460C54" w:rsidRPr="00460C54">
        <w:rPr>
          <w:rFonts w:ascii="Times New Roman" w:hAnsi="Times New Roman"/>
          <w:color w:val="000000"/>
        </w:rPr>
        <w:t xml:space="preserve"> - код 33632100-0 за ДК 021:2015 «Єдиний закупівельний словник» - Протизапальні та протиревматичні засоби; </w:t>
      </w:r>
      <w:proofErr w:type="spellStart"/>
      <w:r w:rsidR="00460C54" w:rsidRPr="00460C54">
        <w:rPr>
          <w:rFonts w:ascii="Times New Roman" w:hAnsi="Times New Roman"/>
          <w:color w:val="000000"/>
        </w:rPr>
        <w:t>Meloxicam</w:t>
      </w:r>
      <w:proofErr w:type="spellEnd"/>
      <w:r w:rsidR="00460C54" w:rsidRPr="00460C54">
        <w:rPr>
          <w:rFonts w:ascii="Times New Roman" w:hAnsi="Times New Roman"/>
          <w:color w:val="000000"/>
        </w:rPr>
        <w:t xml:space="preserve"> - код 33632100-0 за ДК 021:2015 Протизапальні та протиревматичні засоби; </w:t>
      </w:r>
      <w:proofErr w:type="spellStart"/>
      <w:r w:rsidR="00460C54" w:rsidRPr="00460C54">
        <w:rPr>
          <w:rFonts w:ascii="Times New Roman" w:hAnsi="Times New Roman"/>
          <w:color w:val="000000"/>
        </w:rPr>
        <w:t>Allopurinol</w:t>
      </w:r>
      <w:proofErr w:type="spellEnd"/>
      <w:r w:rsidR="00460C54" w:rsidRPr="00460C54">
        <w:rPr>
          <w:rFonts w:ascii="Times New Roman" w:hAnsi="Times New Roman"/>
          <w:color w:val="000000"/>
        </w:rPr>
        <w:t xml:space="preserve"> - код 33632300-2 за ДК 021:2015 «Єдиний закупівельний словник» - </w:t>
      </w:r>
      <w:proofErr w:type="spellStart"/>
      <w:r w:rsidR="00460C54" w:rsidRPr="00460C54">
        <w:rPr>
          <w:rFonts w:ascii="Times New Roman" w:hAnsi="Times New Roman"/>
          <w:color w:val="000000"/>
        </w:rPr>
        <w:t>Протиподагричні</w:t>
      </w:r>
      <w:proofErr w:type="spellEnd"/>
      <w:r w:rsidR="00460C54" w:rsidRPr="00460C54">
        <w:rPr>
          <w:rFonts w:ascii="Times New Roman" w:hAnsi="Times New Roman"/>
          <w:color w:val="000000"/>
        </w:rPr>
        <w:t xml:space="preserve"> препарати; </w:t>
      </w:r>
      <w:proofErr w:type="spellStart"/>
      <w:r w:rsidR="00460C54" w:rsidRPr="00460C54">
        <w:rPr>
          <w:rFonts w:ascii="Times New Roman" w:hAnsi="Times New Roman"/>
          <w:color w:val="000000"/>
        </w:rPr>
        <w:t>Escitalopram</w:t>
      </w:r>
      <w:proofErr w:type="spellEnd"/>
      <w:r w:rsidR="00460C54" w:rsidRPr="00460C54">
        <w:rPr>
          <w:rFonts w:ascii="Times New Roman" w:hAnsi="Times New Roman"/>
          <w:color w:val="000000"/>
        </w:rPr>
        <w:t xml:space="preserve"> - код 33661600-7 за ДК 021:2015 "Єдиний закупівельний словник" - </w:t>
      </w:r>
      <w:proofErr w:type="spellStart"/>
      <w:r w:rsidR="00460C54" w:rsidRPr="00460C54">
        <w:rPr>
          <w:rFonts w:ascii="Times New Roman" w:hAnsi="Times New Roman"/>
          <w:color w:val="000000"/>
        </w:rPr>
        <w:t>Психоаналептичні</w:t>
      </w:r>
      <w:proofErr w:type="spellEnd"/>
      <w:r w:rsidR="00460C54" w:rsidRPr="00460C54">
        <w:rPr>
          <w:rFonts w:ascii="Times New Roman" w:hAnsi="Times New Roman"/>
          <w:color w:val="000000"/>
        </w:rPr>
        <w:t xml:space="preserve"> засоби; </w:t>
      </w:r>
      <w:proofErr w:type="spellStart"/>
      <w:r w:rsidR="00460C54" w:rsidRPr="00460C54">
        <w:rPr>
          <w:rFonts w:ascii="Times New Roman" w:hAnsi="Times New Roman"/>
          <w:color w:val="000000"/>
        </w:rPr>
        <w:t>Hopantenic</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acid</w:t>
      </w:r>
      <w:proofErr w:type="spellEnd"/>
      <w:r w:rsidR="00460C54" w:rsidRPr="00460C54">
        <w:rPr>
          <w:rFonts w:ascii="Times New Roman" w:hAnsi="Times New Roman"/>
          <w:color w:val="000000"/>
        </w:rPr>
        <w:t xml:space="preserve">* - код 33661600-7 за ДК 021:2015 - </w:t>
      </w:r>
      <w:proofErr w:type="spellStart"/>
      <w:r w:rsidR="00460C54" w:rsidRPr="00460C54">
        <w:rPr>
          <w:rFonts w:ascii="Times New Roman" w:hAnsi="Times New Roman"/>
          <w:color w:val="000000"/>
        </w:rPr>
        <w:t>Психоаналептичні</w:t>
      </w:r>
      <w:proofErr w:type="spellEnd"/>
      <w:r w:rsidR="00460C54" w:rsidRPr="00460C54">
        <w:rPr>
          <w:rFonts w:ascii="Times New Roman" w:hAnsi="Times New Roman"/>
          <w:color w:val="000000"/>
        </w:rPr>
        <w:t xml:space="preserve"> засоби; </w:t>
      </w:r>
      <w:proofErr w:type="spellStart"/>
      <w:r w:rsidR="00460C54" w:rsidRPr="00460C54">
        <w:rPr>
          <w:rFonts w:ascii="Times New Roman" w:hAnsi="Times New Roman"/>
          <w:color w:val="000000"/>
        </w:rPr>
        <w:t>Comb</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drug</w:t>
      </w:r>
      <w:proofErr w:type="spellEnd"/>
      <w:r w:rsidR="00460C54" w:rsidRPr="00460C54">
        <w:rPr>
          <w:rFonts w:ascii="Times New Roman" w:hAnsi="Times New Roman"/>
          <w:color w:val="000000"/>
        </w:rPr>
        <w:t xml:space="preserve"> - код 33631600-8  за ДК 021:2015 «Єдиний закупівельний словник» - Антисептичні та дезінфекційні засоби; </w:t>
      </w:r>
      <w:proofErr w:type="spellStart"/>
      <w:r w:rsidR="00460C54" w:rsidRPr="00460C54">
        <w:rPr>
          <w:rFonts w:ascii="Times New Roman" w:hAnsi="Times New Roman"/>
          <w:color w:val="000000"/>
        </w:rPr>
        <w:t>Timolol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combinations</w:t>
      </w:r>
      <w:proofErr w:type="spellEnd"/>
      <w:r w:rsidR="00460C54" w:rsidRPr="00460C54">
        <w:rPr>
          <w:rFonts w:ascii="Times New Roman" w:hAnsi="Times New Roman"/>
          <w:color w:val="000000"/>
        </w:rPr>
        <w:t xml:space="preserve"> - код 33662100-9 за ДК 021:2015 "Єдиний закупівельний словник" - Офтальмологічні засоби; </w:t>
      </w:r>
      <w:proofErr w:type="spellStart"/>
      <w:r w:rsidR="00460C54" w:rsidRPr="00460C54">
        <w:rPr>
          <w:rFonts w:ascii="Times New Roman" w:hAnsi="Times New Roman"/>
          <w:color w:val="000000"/>
        </w:rPr>
        <w:t>Acetazolamide</w:t>
      </w:r>
      <w:proofErr w:type="spellEnd"/>
      <w:r w:rsidR="00460C54" w:rsidRPr="00460C54">
        <w:rPr>
          <w:rFonts w:ascii="Times New Roman" w:hAnsi="Times New Roman"/>
          <w:color w:val="000000"/>
        </w:rPr>
        <w:t xml:space="preserve"> - код 33662100-9 за ДК 021:2015 "Єдиний закупівельний словник" - Офтальмологічні засоби; </w:t>
      </w:r>
      <w:proofErr w:type="spellStart"/>
      <w:r w:rsidR="00460C54" w:rsidRPr="00460C54">
        <w:rPr>
          <w:rFonts w:ascii="Times New Roman" w:hAnsi="Times New Roman"/>
          <w:color w:val="000000"/>
        </w:rPr>
        <w:t>Febuxostat</w:t>
      </w:r>
      <w:proofErr w:type="spellEnd"/>
      <w:r w:rsidR="00460C54" w:rsidRPr="00460C54">
        <w:rPr>
          <w:rFonts w:ascii="Times New Roman" w:hAnsi="Times New Roman"/>
          <w:color w:val="000000"/>
        </w:rPr>
        <w:t xml:space="preserve">  - код 33632300-2 за ДК 021:2015 «Єдиний закупівельний словник» - </w:t>
      </w:r>
      <w:proofErr w:type="spellStart"/>
      <w:r w:rsidR="00460C54" w:rsidRPr="00460C54">
        <w:rPr>
          <w:rFonts w:ascii="Times New Roman" w:hAnsi="Times New Roman"/>
          <w:color w:val="000000"/>
        </w:rPr>
        <w:t>Протиподагричні</w:t>
      </w:r>
      <w:proofErr w:type="spellEnd"/>
      <w:r w:rsidR="00460C54" w:rsidRPr="00460C54">
        <w:rPr>
          <w:rFonts w:ascii="Times New Roman" w:hAnsi="Times New Roman"/>
          <w:color w:val="000000"/>
        </w:rPr>
        <w:t xml:space="preserve"> препарати; </w:t>
      </w:r>
      <w:proofErr w:type="spellStart"/>
      <w:r w:rsidR="00460C54" w:rsidRPr="00460C54">
        <w:rPr>
          <w:rFonts w:ascii="Times New Roman" w:hAnsi="Times New Roman"/>
          <w:color w:val="000000"/>
        </w:rPr>
        <w:t>Comb</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drug</w:t>
      </w:r>
      <w:proofErr w:type="spellEnd"/>
      <w:r w:rsidR="00460C54" w:rsidRPr="00460C54">
        <w:rPr>
          <w:rFonts w:ascii="Times New Roman" w:hAnsi="Times New Roman"/>
          <w:color w:val="000000"/>
        </w:rPr>
        <w:t xml:space="preserve"> - код 33616000-1 за ДК 021:2015 «Єдиний закупівельний словник» - Вітаміни; </w:t>
      </w:r>
      <w:proofErr w:type="spellStart"/>
      <w:r w:rsidR="00460C54" w:rsidRPr="00460C54">
        <w:rPr>
          <w:rFonts w:ascii="Times New Roman" w:hAnsi="Times New Roman"/>
          <w:color w:val="000000"/>
        </w:rPr>
        <w:t>Comb</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drug</w:t>
      </w:r>
      <w:proofErr w:type="spellEnd"/>
      <w:r w:rsidR="00460C54" w:rsidRPr="00460C54">
        <w:rPr>
          <w:rFonts w:ascii="Times New Roman" w:hAnsi="Times New Roman"/>
          <w:color w:val="000000"/>
        </w:rPr>
        <w:t xml:space="preserve"> - код 33622100-7 за ДК 021:2015 - Кардіологічні лікарські засоби; Omega-3-triglycerides </w:t>
      </w:r>
      <w:proofErr w:type="spellStart"/>
      <w:r w:rsidR="00460C54" w:rsidRPr="00460C54">
        <w:rPr>
          <w:rFonts w:ascii="Times New Roman" w:hAnsi="Times New Roman"/>
          <w:color w:val="000000"/>
        </w:rPr>
        <w:t>incl</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other</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esters</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and</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acids</w:t>
      </w:r>
      <w:proofErr w:type="spellEnd"/>
      <w:r w:rsidR="00460C54" w:rsidRPr="00460C54">
        <w:rPr>
          <w:rFonts w:ascii="Times New Roman" w:hAnsi="Times New Roman"/>
          <w:color w:val="000000"/>
        </w:rPr>
        <w:t xml:space="preserve">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460C54" w:rsidRPr="00460C54">
        <w:rPr>
          <w:rFonts w:ascii="Times New Roman" w:hAnsi="Times New Roman"/>
          <w:color w:val="000000"/>
        </w:rPr>
        <w:t>Levocetirizine</w:t>
      </w:r>
      <w:proofErr w:type="spellEnd"/>
      <w:r w:rsidR="00460C54" w:rsidRPr="00460C54">
        <w:rPr>
          <w:rFonts w:ascii="Times New Roman" w:hAnsi="Times New Roman"/>
          <w:color w:val="000000"/>
        </w:rPr>
        <w:t xml:space="preserve"> - код 33675000-2 за ДК 021:2015 «Єдиний закупівельний словник» - </w:t>
      </w:r>
      <w:proofErr w:type="spellStart"/>
      <w:r w:rsidR="00460C54" w:rsidRPr="00460C54">
        <w:rPr>
          <w:rFonts w:ascii="Times New Roman" w:hAnsi="Times New Roman"/>
          <w:color w:val="000000"/>
        </w:rPr>
        <w:t>Антигістамінні</w:t>
      </w:r>
      <w:proofErr w:type="spellEnd"/>
      <w:r w:rsidR="00460C54" w:rsidRPr="00460C54">
        <w:rPr>
          <w:rFonts w:ascii="Times New Roman" w:hAnsi="Times New Roman"/>
          <w:color w:val="000000"/>
        </w:rPr>
        <w:t xml:space="preserve"> засоби для системного застосування; </w:t>
      </w:r>
      <w:proofErr w:type="spellStart"/>
      <w:r w:rsidR="00460C54" w:rsidRPr="00460C54">
        <w:rPr>
          <w:rFonts w:ascii="Times New Roman" w:hAnsi="Times New Roman"/>
          <w:color w:val="000000"/>
        </w:rPr>
        <w:t>Dexamethasone</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and</w:t>
      </w:r>
      <w:proofErr w:type="spellEnd"/>
      <w:r w:rsidR="00460C54" w:rsidRPr="00460C54">
        <w:rPr>
          <w:rFonts w:ascii="Times New Roman" w:hAnsi="Times New Roman"/>
          <w:color w:val="000000"/>
        </w:rPr>
        <w:t xml:space="preserve"> </w:t>
      </w:r>
      <w:proofErr w:type="spellStart"/>
      <w:r w:rsidR="00460C54" w:rsidRPr="00460C54">
        <w:rPr>
          <w:rFonts w:ascii="Times New Roman" w:hAnsi="Times New Roman"/>
          <w:color w:val="000000"/>
        </w:rPr>
        <w:t>antiinfectives</w:t>
      </w:r>
      <w:proofErr w:type="spellEnd"/>
      <w:r w:rsidR="00460C54" w:rsidRPr="00460C54">
        <w:rPr>
          <w:rFonts w:ascii="Times New Roman" w:hAnsi="Times New Roman"/>
          <w:color w:val="000000"/>
        </w:rPr>
        <w:t xml:space="preserve"> - код 33662100-9 за ДК 021:2015 "Єдиний закупівельний словник" - Офтальмологічні засоби; </w:t>
      </w:r>
      <w:proofErr w:type="spellStart"/>
      <w:r w:rsidR="00460C54" w:rsidRPr="00460C54">
        <w:rPr>
          <w:rFonts w:ascii="Times New Roman" w:hAnsi="Times New Roman"/>
          <w:color w:val="000000"/>
        </w:rPr>
        <w:t>Nadroparin</w:t>
      </w:r>
      <w:proofErr w:type="spellEnd"/>
      <w:r w:rsidR="00460C54" w:rsidRPr="00460C54">
        <w:rPr>
          <w:rFonts w:ascii="Times New Roman" w:hAnsi="Times New Roman"/>
          <w:color w:val="000000"/>
        </w:rPr>
        <w:t xml:space="preserve"> - код 33621100-0 за ДК 021:2015  - </w:t>
      </w:r>
      <w:proofErr w:type="spellStart"/>
      <w:r w:rsidR="00460C54" w:rsidRPr="00460C54">
        <w:rPr>
          <w:rFonts w:ascii="Times New Roman" w:hAnsi="Times New Roman"/>
          <w:color w:val="000000"/>
        </w:rPr>
        <w:t>Протитромбозні</w:t>
      </w:r>
      <w:proofErr w:type="spellEnd"/>
      <w:r w:rsidR="00460C54" w:rsidRPr="00460C54">
        <w:rPr>
          <w:rFonts w:ascii="Times New Roman" w:hAnsi="Times New Roman"/>
          <w:color w:val="000000"/>
        </w:rPr>
        <w:t xml:space="preserve"> засоби; </w:t>
      </w:r>
      <w:proofErr w:type="spellStart"/>
      <w:r w:rsidR="00460C54" w:rsidRPr="00460C54">
        <w:rPr>
          <w:rFonts w:ascii="Times New Roman" w:hAnsi="Times New Roman"/>
          <w:color w:val="000000"/>
        </w:rPr>
        <w:t>Ropivacaine</w:t>
      </w:r>
      <w:proofErr w:type="spellEnd"/>
      <w:r w:rsidR="00460C54" w:rsidRPr="00460C54">
        <w:rPr>
          <w:rFonts w:ascii="Times New Roman" w:hAnsi="Times New Roman"/>
          <w:color w:val="000000"/>
        </w:rPr>
        <w:t xml:space="preserve"> - код 33661100-2  за ДК 021:2015  - </w:t>
      </w:r>
      <w:proofErr w:type="spellStart"/>
      <w:r w:rsidR="00460C54" w:rsidRPr="00460C54">
        <w:rPr>
          <w:rFonts w:ascii="Times New Roman" w:hAnsi="Times New Roman"/>
          <w:color w:val="000000"/>
        </w:rPr>
        <w:t>Анестетичні</w:t>
      </w:r>
      <w:proofErr w:type="spellEnd"/>
      <w:r w:rsidR="00460C54" w:rsidRPr="00460C54">
        <w:rPr>
          <w:rFonts w:ascii="Times New Roman" w:hAnsi="Times New Roman"/>
          <w:color w:val="000000"/>
        </w:rPr>
        <w:t xml:space="preserve"> засоби; </w:t>
      </w:r>
      <w:proofErr w:type="spellStart"/>
      <w:r w:rsidR="00460C54" w:rsidRPr="00460C54">
        <w:rPr>
          <w:rFonts w:ascii="Times New Roman" w:hAnsi="Times New Roman"/>
          <w:color w:val="000000"/>
        </w:rPr>
        <w:t>Fondaparinux</w:t>
      </w:r>
      <w:proofErr w:type="spellEnd"/>
      <w:r w:rsidR="00460C54" w:rsidRPr="00460C54">
        <w:rPr>
          <w:rFonts w:ascii="Times New Roman" w:hAnsi="Times New Roman"/>
          <w:color w:val="000000"/>
        </w:rPr>
        <w:t xml:space="preserve"> - код 33621100-0 за ДК 021:2015  - </w:t>
      </w:r>
      <w:proofErr w:type="spellStart"/>
      <w:r w:rsidR="00460C54" w:rsidRPr="00460C54">
        <w:rPr>
          <w:rFonts w:ascii="Times New Roman" w:hAnsi="Times New Roman"/>
          <w:color w:val="000000"/>
        </w:rPr>
        <w:t>Протитромбозні</w:t>
      </w:r>
      <w:proofErr w:type="spellEnd"/>
      <w:r w:rsidR="00460C54" w:rsidRPr="00460C54">
        <w:rPr>
          <w:rFonts w:ascii="Times New Roman" w:hAnsi="Times New Roman"/>
          <w:color w:val="000000"/>
        </w:rPr>
        <w:t xml:space="preserve"> засоби; </w:t>
      </w:r>
      <w:proofErr w:type="spellStart"/>
      <w:r w:rsidR="00460C54" w:rsidRPr="00460C54">
        <w:rPr>
          <w:rFonts w:ascii="Times New Roman" w:hAnsi="Times New Roman"/>
          <w:color w:val="000000"/>
        </w:rPr>
        <w:t>Suxamethonium</w:t>
      </w:r>
      <w:proofErr w:type="spellEnd"/>
      <w:r w:rsidR="00460C54" w:rsidRPr="00460C54">
        <w:rPr>
          <w:rFonts w:ascii="Times New Roman" w:hAnsi="Times New Roman"/>
          <w:color w:val="000000"/>
        </w:rPr>
        <w:t xml:space="preserve"> - код 33632200-1 за ДК 021:2015 «Єдиний закупівельний словник» - М’язові релаксанти)</w:t>
      </w:r>
      <w:r w:rsidRPr="00FD4282">
        <w:rPr>
          <w:rFonts w:ascii="Times New Roman" w:hAnsi="Times New Roman"/>
          <w:bCs/>
        </w:rPr>
        <w:t xml:space="preserve">, </w:t>
      </w:r>
      <w:r w:rsidRPr="00FD4282">
        <w:rPr>
          <w:rFonts w:ascii="Times New Roman" w:hAnsi="Times New Roman"/>
        </w:rPr>
        <w:t xml:space="preserve">в кількості </w:t>
      </w:r>
      <w:r w:rsidR="00053D56">
        <w:rPr>
          <w:rFonts w:ascii="Times New Roman" w:hAnsi="Times New Roman"/>
        </w:rPr>
        <w:t xml:space="preserve">35 </w:t>
      </w:r>
      <w:r w:rsidRPr="00FD4282">
        <w:rPr>
          <w:rFonts w:ascii="Times New Roman" w:hAnsi="Times New Roman"/>
        </w:rPr>
        <w:t>найменуван</w:t>
      </w:r>
      <w:r w:rsidR="00053D56">
        <w:rPr>
          <w:rFonts w:ascii="Times New Roman" w:hAnsi="Times New Roman"/>
        </w:rPr>
        <w:t>ь</w:t>
      </w:r>
      <w:r w:rsidRPr="00FD4282">
        <w:rPr>
          <w:rFonts w:ascii="Times New Roman" w:hAnsi="Times New Roman"/>
        </w:rPr>
        <w:t>, зазначений у Специфікації , яка є невід'ємною частиною даного Договору, а Замовник – прийняти і оплатити</w:t>
      </w:r>
      <w:r w:rsidRPr="00006AA8">
        <w:rPr>
          <w:rFonts w:ascii="Times New Roman" w:hAnsi="Times New Roman"/>
        </w:rPr>
        <w:t xml:space="preserve"> «Товар».</w:t>
      </w:r>
    </w:p>
    <w:p w14:paraId="58C91AA9" w14:textId="40C480AD"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1.2. Поставка товару відбувається за письмовими замовленнями Замовника по кількості вказаних </w:t>
      </w:r>
      <w:r w:rsidRPr="00006AA8">
        <w:rPr>
          <w:rFonts w:ascii="Times New Roman" w:hAnsi="Times New Roman"/>
        </w:rPr>
        <w:lastRenderedPageBreak/>
        <w:t xml:space="preserve">найменувань, згідно з </w:t>
      </w:r>
      <w:r w:rsidR="00460C54" w:rsidRPr="00006AA8">
        <w:rPr>
          <w:rFonts w:ascii="Times New Roman" w:hAnsi="Times New Roman"/>
        </w:rPr>
        <w:t>Специфікацією</w:t>
      </w:r>
      <w:r w:rsidRPr="00006AA8">
        <w:rPr>
          <w:rFonts w:ascii="Times New Roman" w:hAnsi="Times New Roman"/>
        </w:rPr>
        <w:t xml:space="preserve"> до Договору.</w:t>
      </w:r>
    </w:p>
    <w:p w14:paraId="3610B497"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Ціна Договору</w:t>
      </w:r>
    </w:p>
    <w:p w14:paraId="39ECCD9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2.1. Загальна сума Договору _________________грн. (______________________________________ грн. ______________ коп.),  в т. ч.  ПДВ 7% - ____________________, в </w:t>
      </w:r>
      <w:proofErr w:type="spellStart"/>
      <w:r w:rsidRPr="00006AA8">
        <w:rPr>
          <w:rFonts w:ascii="Times New Roman" w:hAnsi="Times New Roman"/>
        </w:rPr>
        <w:t>т.ч</w:t>
      </w:r>
      <w:proofErr w:type="spellEnd"/>
      <w:r w:rsidRPr="00006AA8">
        <w:rPr>
          <w:rFonts w:ascii="Times New Roman" w:hAnsi="Times New Roman"/>
        </w:rPr>
        <w:t>.:</w:t>
      </w:r>
    </w:p>
    <w:p w14:paraId="4C98C1D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UA098201720343180002000006863____________________________</w:t>
      </w:r>
      <w:r w:rsidRPr="00006AA8">
        <w:rPr>
          <w:rFonts w:ascii="Times New Roman" w:hAnsi="Times New Roman"/>
        </w:rPr>
        <w:tab/>
        <w:t xml:space="preserve">                     </w:t>
      </w:r>
    </w:p>
    <w:p w14:paraId="1B5081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258201720343171002200006863 ____________________________          </w:t>
      </w:r>
      <w:r w:rsidRPr="00006AA8">
        <w:rPr>
          <w:rFonts w:ascii="Times New Roman" w:hAnsi="Times New Roman"/>
        </w:rPr>
        <w:tab/>
        <w:t xml:space="preserve">                                             </w:t>
      </w:r>
    </w:p>
    <w:p w14:paraId="7A8736D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2.2. Валютою договору є гривня  України.</w:t>
      </w:r>
    </w:p>
    <w:p w14:paraId="304FEB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217CDDFF"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F84BE1">
        <w:rPr>
          <w:rFonts w:ascii="Times New Roman" w:hAnsi="Times New Roman"/>
        </w:rPr>
        <w:t>3</w:t>
      </w:r>
      <w:r w:rsidRPr="00006AA8">
        <w:rPr>
          <w:rFonts w:ascii="Times New Roman" w:hAnsi="Times New Roman"/>
        </w:rPr>
        <w:t xml:space="preserve"> рік за загальним фондом та в межах фактичних надходжень за спеціальним фондом.</w:t>
      </w:r>
    </w:p>
    <w:p w14:paraId="34E7244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2.6. Протягом терміну дії Договору Сторони можуть проводити звірку взаємних розрахунків.</w:t>
      </w:r>
    </w:p>
    <w:p w14:paraId="025AA8AC"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Права та обов’язки сторін</w:t>
      </w:r>
    </w:p>
    <w:p w14:paraId="6B057C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 Замовник має право:</w:t>
      </w:r>
    </w:p>
    <w:p w14:paraId="4C88955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3.1.1. Контролювати поставку товару у строки, встановлені Договором.</w:t>
      </w:r>
    </w:p>
    <w:p w14:paraId="2ED683F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3.1.3. Інші зобов’язання, визначені чинним законодавством України.</w:t>
      </w:r>
    </w:p>
    <w:p w14:paraId="5058364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 Замовник зобов’язаний:</w:t>
      </w:r>
    </w:p>
    <w:p w14:paraId="63279B0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3.2.3. Інші зобов’язання, визначені чинним законодавством України.</w:t>
      </w:r>
    </w:p>
    <w:p w14:paraId="18D1EE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 Постачальник має право:</w:t>
      </w:r>
    </w:p>
    <w:p w14:paraId="48B646C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3.3.1. Своєчасно та в повному обсязі отримувати плату за поставлений товар, відповідно до умов Договору.</w:t>
      </w:r>
    </w:p>
    <w:p w14:paraId="13C50B1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3.3.2. На дострокову поставку товару партіями за письмовим погодженням Замовника.</w:t>
      </w:r>
    </w:p>
    <w:p w14:paraId="0946DFD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3.3.3.  Інші зобов’язання, визначені чинним законодавством України.</w:t>
      </w:r>
    </w:p>
    <w:p w14:paraId="7F05682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 Постачальник зобов’язаний:</w:t>
      </w:r>
    </w:p>
    <w:p w14:paraId="0D79C3D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3.4.1. Забезпечити поставку товару у строки, встановлені Договором.</w:t>
      </w:r>
    </w:p>
    <w:p w14:paraId="1359D10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7B440B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3.4.3. Інші зобов’язання, визначені чинним законодавством України.</w:t>
      </w:r>
    </w:p>
    <w:p w14:paraId="5924C55D"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Умови та порядок розрахунків</w:t>
      </w:r>
    </w:p>
    <w:p w14:paraId="72B462D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4.1. Оплата товарів проводиться відповідно до рахунків та накладних Постачальника.</w:t>
      </w:r>
    </w:p>
    <w:p w14:paraId="0D41AF93" w14:textId="2339445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4.2. Оплата вартості товару буде </w:t>
      </w:r>
      <w:r w:rsidR="00460C54" w:rsidRPr="00006AA8">
        <w:rPr>
          <w:rFonts w:ascii="Times New Roman" w:hAnsi="Times New Roman"/>
        </w:rPr>
        <w:t>здійснюватися</w:t>
      </w:r>
      <w:bookmarkStart w:id="0" w:name="_GoBack"/>
      <w:bookmarkEnd w:id="0"/>
      <w:r w:rsidRPr="00006AA8">
        <w:rPr>
          <w:rFonts w:ascii="Times New Roman" w:hAnsi="Times New Roman"/>
        </w:rPr>
        <w:t xml:space="preserve"> протягом 30 (тридцяти) банківських днів після поставки товару на склад Замовника.</w:t>
      </w:r>
    </w:p>
    <w:p w14:paraId="2BF954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532535E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Доставка та документація</w:t>
      </w:r>
    </w:p>
    <w:p w14:paraId="55921AD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5.1. Постачальник передає у власність Замовника товар на умовах </w:t>
      </w:r>
      <w:r w:rsidRPr="00006AA8">
        <w:rPr>
          <w:rFonts w:ascii="Times New Roman" w:hAnsi="Times New Roman"/>
          <w:lang w:val="en-US"/>
        </w:rPr>
        <w:t>DDP</w:t>
      </w:r>
      <w:r w:rsidRPr="00006AA8">
        <w:rPr>
          <w:rFonts w:ascii="Times New Roman" w:hAnsi="Times New Roman"/>
        </w:rPr>
        <w:t>-Україна (Інкотермс-2020),  включаючи витрати на розгрузку (розвантаження) товару.</w:t>
      </w:r>
    </w:p>
    <w:p w14:paraId="611C72D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w:t>
      </w:r>
      <w:r w:rsidRPr="00006AA8">
        <w:rPr>
          <w:rFonts w:ascii="Times New Roman" w:hAnsi="Times New Roman"/>
        </w:rPr>
        <w:lastRenderedPageBreak/>
        <w:t>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21B2952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006AA8">
        <w:rPr>
          <w:rFonts w:ascii="Times New Roman" w:hAnsi="Times New Roman"/>
        </w:rPr>
        <w:t>дозаміну</w:t>
      </w:r>
      <w:proofErr w:type="spellEnd"/>
      <w:r w:rsidRPr="00006AA8">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50737B56" w14:textId="77777777" w:rsidR="00A265A3" w:rsidRPr="005B4DB7"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w:t>
      </w:r>
      <w:r w:rsidRPr="005B4DB7">
        <w:rPr>
          <w:rFonts w:ascii="Times New Roman" w:hAnsi="Times New Roman"/>
        </w:rPr>
        <w:t>встановлені цим договором.</w:t>
      </w:r>
    </w:p>
    <w:p w14:paraId="794F65C9" w14:textId="687324AB"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5B4DB7">
        <w:rPr>
          <w:rFonts w:ascii="Times New Roman" w:hAnsi="Times New Roman"/>
        </w:rPr>
        <w:t xml:space="preserve">7.2.   Термін поставки: до </w:t>
      </w:r>
      <w:r w:rsidR="009A6F23">
        <w:rPr>
          <w:rFonts w:ascii="Times New Roman" w:hAnsi="Times New Roman"/>
          <w:lang w:val="en-US"/>
        </w:rPr>
        <w:t>25</w:t>
      </w:r>
      <w:r w:rsidR="005B4DB7" w:rsidRPr="005B4DB7">
        <w:rPr>
          <w:rFonts w:ascii="Times New Roman" w:hAnsi="Times New Roman"/>
        </w:rPr>
        <w:t>.12.</w:t>
      </w:r>
      <w:r w:rsidRPr="005B4DB7">
        <w:rPr>
          <w:rFonts w:ascii="Times New Roman" w:hAnsi="Times New Roman"/>
        </w:rPr>
        <w:t xml:space="preserve"> 202</w:t>
      </w:r>
      <w:r w:rsidR="00DD7FDD" w:rsidRPr="005B4DB7">
        <w:rPr>
          <w:rFonts w:ascii="Times New Roman" w:hAnsi="Times New Roman"/>
        </w:rPr>
        <w:t>3</w:t>
      </w:r>
      <w:r w:rsidRPr="005B4DB7">
        <w:rPr>
          <w:rFonts w:ascii="Times New Roman" w:hAnsi="Times New Roman"/>
        </w:rPr>
        <w:t xml:space="preserve"> року.</w:t>
      </w:r>
    </w:p>
    <w:p w14:paraId="7600BE2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Упаковка та маркування</w:t>
      </w:r>
    </w:p>
    <w:p w14:paraId="158C2BB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r w:rsidRPr="00006AA8">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D752ECB"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Відповідальність Сторін</w:t>
      </w:r>
    </w:p>
    <w:p w14:paraId="539107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3CC03C82" w14:textId="77777777" w:rsidR="00A265A3" w:rsidRPr="00006AA8" w:rsidRDefault="00A265A3" w:rsidP="00FD4282">
      <w:pPr>
        <w:widowControl w:val="0"/>
        <w:numPr>
          <w:ilvl w:val="0"/>
          <w:numId w:val="1"/>
        </w:numPr>
        <w:tabs>
          <w:tab w:val="clear" w:pos="3195"/>
        </w:tabs>
        <w:autoSpaceDE w:val="0"/>
        <w:autoSpaceDN w:val="0"/>
        <w:adjustRightInd w:val="0"/>
        <w:spacing w:after="0" w:line="240" w:lineRule="auto"/>
        <w:ind w:left="2163" w:hanging="320"/>
        <w:jc w:val="center"/>
        <w:rPr>
          <w:rFonts w:ascii="Times New Roman" w:hAnsi="Times New Roman"/>
          <w:b/>
        </w:rPr>
      </w:pPr>
      <w:r w:rsidRPr="00006AA8">
        <w:rPr>
          <w:rFonts w:ascii="Times New Roman" w:hAnsi="Times New Roman"/>
          <w:b/>
        </w:rPr>
        <w:t>Обставини непереборної сили та істотні зміни обставин</w:t>
      </w:r>
    </w:p>
    <w:p w14:paraId="35DE255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006AA8">
        <w:rPr>
          <w:rFonts w:ascii="Times New Roman" w:hAnsi="Times New Roman"/>
          <w:lang w:bidi="ru-RU"/>
        </w:rPr>
        <w:t xml:space="preserve">при </w:t>
      </w:r>
      <w:proofErr w:type="spellStart"/>
      <w:r w:rsidRPr="00006AA8">
        <w:rPr>
          <w:rFonts w:ascii="Times New Roman" w:hAnsi="Times New Roman"/>
          <w:lang w:bidi="ru-RU"/>
        </w:rPr>
        <w:t>уклад</w:t>
      </w:r>
      <w:r w:rsidRPr="00006AA8">
        <w:rPr>
          <w:rFonts w:ascii="Times New Roman" w:hAnsi="Times New Roman"/>
        </w:rPr>
        <w:t>ані</w:t>
      </w:r>
      <w:proofErr w:type="spellEnd"/>
      <w:r w:rsidRPr="00006AA8">
        <w:rPr>
          <w:rFonts w:ascii="Times New Roman" w:hAnsi="Times New Roman"/>
        </w:rPr>
        <w:t xml:space="preserve"> </w:t>
      </w:r>
      <w:r w:rsidRPr="00006AA8">
        <w:rPr>
          <w:rFonts w:ascii="Times New Roman" w:hAnsi="Times New Roman"/>
          <w:lang w:bidi="ru-RU"/>
        </w:rPr>
        <w:t xml:space="preserve">договору (контракту) </w:t>
      </w:r>
      <w:r w:rsidRPr="00006AA8">
        <w:rPr>
          <w:rFonts w:ascii="Times New Roman" w:hAnsi="Times New Roman"/>
        </w:rPr>
        <w:t>вій може бути змінений або розірваний за згодою Сторін.</w:t>
      </w:r>
    </w:p>
    <w:p w14:paraId="495AA3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353C129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Порядок вирішення спорів</w:t>
      </w:r>
    </w:p>
    <w:p w14:paraId="5CA219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42028E4"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Поправки до Договору</w:t>
      </w:r>
    </w:p>
    <w:p w14:paraId="70CD9A3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 зменшення обсягів закупівлі, зокрема з урахуванням фактичного обсягу видатків замовника;</w:t>
      </w:r>
    </w:p>
    <w:p w14:paraId="7C9BA2F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6AA8">
        <w:rPr>
          <w:rFonts w:ascii="Times New Roman" w:hAnsi="Times New Roman"/>
        </w:rPr>
        <w:t>пропорційно</w:t>
      </w:r>
      <w:proofErr w:type="spellEnd"/>
      <w:r w:rsidRPr="00006AA8">
        <w:rPr>
          <w:rFonts w:ascii="Times New Roman" w:hAnsi="Times New Roman"/>
        </w:rPr>
        <w:t xml:space="preserve"> до зміни таких ставок та/або пільг з оподаткування;</w:t>
      </w:r>
    </w:p>
    <w:p w14:paraId="1C31028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AA8">
        <w:rPr>
          <w:rFonts w:ascii="Times New Roman" w:hAnsi="Times New Roman"/>
        </w:rPr>
        <w:t>Platts</w:t>
      </w:r>
      <w:proofErr w:type="spellEnd"/>
      <w:r w:rsidRPr="00006AA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 зміни умов у зв’язку із застосуванням положень пункту 12.4. Договору.</w:t>
      </w:r>
    </w:p>
    <w:p w14:paraId="0058350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F77216"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Заключні положення</w:t>
      </w:r>
    </w:p>
    <w:p w14:paraId="79E08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13.1. Цей </w:t>
      </w:r>
      <w:proofErr w:type="spellStart"/>
      <w:r w:rsidRPr="00006AA8">
        <w:rPr>
          <w:rFonts w:ascii="Times New Roman" w:hAnsi="Times New Roman"/>
        </w:rPr>
        <w:t>Договор</w:t>
      </w:r>
      <w:proofErr w:type="spellEnd"/>
      <w:r w:rsidRPr="00006AA8">
        <w:rPr>
          <w:rFonts w:ascii="Times New Roman" w:hAnsi="Times New Roman"/>
        </w:rPr>
        <w:t xml:space="preserve"> складено українською мовою у двох примірниках, по одному для кожної Сторони. </w:t>
      </w:r>
    </w:p>
    <w:p w14:paraId="364E4633" w14:textId="0B9B12FA"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13.2. Договір набирає чинності з дати його підписання Сторонами </w:t>
      </w:r>
      <w:r w:rsidRPr="00FD4282">
        <w:rPr>
          <w:rFonts w:ascii="Times New Roman" w:hAnsi="Times New Roman"/>
        </w:rPr>
        <w:t xml:space="preserve">і діє до </w:t>
      </w:r>
      <w:r w:rsidR="005B4DB7" w:rsidRPr="00FD4282">
        <w:rPr>
          <w:rFonts w:ascii="Times New Roman" w:hAnsi="Times New Roman"/>
        </w:rPr>
        <w:t>31.12.</w:t>
      </w:r>
      <w:r w:rsidRPr="00FD4282">
        <w:rPr>
          <w:rFonts w:ascii="Times New Roman" w:hAnsi="Times New Roman"/>
        </w:rPr>
        <w:t xml:space="preserve"> 202</w:t>
      </w:r>
      <w:r w:rsidR="00DD7FDD" w:rsidRPr="00FD4282">
        <w:rPr>
          <w:rFonts w:ascii="Times New Roman" w:hAnsi="Times New Roman"/>
        </w:rPr>
        <w:t>3</w:t>
      </w:r>
      <w:r w:rsidRPr="00FD4282">
        <w:rPr>
          <w:rFonts w:ascii="Times New Roman" w:hAnsi="Times New Roman"/>
        </w:rPr>
        <w:t xml:space="preserve"> року</w:t>
      </w:r>
      <w:r w:rsidRPr="00006AA8">
        <w:rPr>
          <w:rFonts w:ascii="Times New Roman" w:hAnsi="Times New Roman"/>
        </w:rPr>
        <w:t xml:space="preserve">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53D56"/>
    <w:rsid w:val="000C1805"/>
    <w:rsid w:val="000D4689"/>
    <w:rsid w:val="00117F59"/>
    <w:rsid w:val="001744E7"/>
    <w:rsid w:val="001F30F1"/>
    <w:rsid w:val="0025538A"/>
    <w:rsid w:val="002D6019"/>
    <w:rsid w:val="00340933"/>
    <w:rsid w:val="00460C54"/>
    <w:rsid w:val="004A2DCE"/>
    <w:rsid w:val="005537B0"/>
    <w:rsid w:val="005B4DB7"/>
    <w:rsid w:val="00834EDC"/>
    <w:rsid w:val="009026A4"/>
    <w:rsid w:val="00934098"/>
    <w:rsid w:val="009A6F23"/>
    <w:rsid w:val="00A265A3"/>
    <w:rsid w:val="00A35A3D"/>
    <w:rsid w:val="00C92D47"/>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13103</Words>
  <Characters>7469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23</cp:revision>
  <dcterms:created xsi:type="dcterms:W3CDTF">2022-11-20T14:45:00Z</dcterms:created>
  <dcterms:modified xsi:type="dcterms:W3CDTF">2023-03-22T19:17:00Z</dcterms:modified>
</cp:coreProperties>
</file>