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5D0B48">
      <w:pPr>
        <w:jc w:val="both"/>
        <w:rPr>
          <w:spacing w:val="-1"/>
          <w:lang w:val="uk-UA"/>
        </w:rPr>
      </w:pPr>
      <w:r w:rsidRPr="009868B7">
        <w:rPr>
          <w:lang w:val="uk-UA"/>
        </w:rPr>
        <w:t xml:space="preserve">1.1. Постачальник зобов'язується поставити товар, а саме: </w:t>
      </w:r>
      <w:r w:rsidR="005D0B48">
        <w:rPr>
          <w:lang w:val="uk-UA"/>
        </w:rPr>
        <w:t>Агрохімічна продукція код 24450000-3 згідно ЄЗС ДК 021:2015 (Дезінфекційні засоби)</w:t>
      </w:r>
      <w:bookmarkStart w:id="0" w:name="_GoBack"/>
      <w:bookmarkEnd w:id="0"/>
      <w:r w:rsidR="004A3AB0" w:rsidRPr="00574AF4">
        <w:rPr>
          <w:b/>
          <w:bCs/>
          <w:lang w:val="uk-UA"/>
        </w:rPr>
        <w:t>,</w:t>
      </w:r>
      <w:r w:rsidR="004A3AB0" w:rsidRPr="00574AF4">
        <w:rPr>
          <w:b/>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5D0B48">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5.1. Строк поставки протягом 6</w:t>
      </w:r>
      <w:r w:rsidR="00B274F9" w:rsidRPr="009868B7">
        <w:rPr>
          <w:lang w:val="uk-UA"/>
        </w:rPr>
        <w:t>-</w:t>
      </w:r>
      <w:r>
        <w:rPr>
          <w:lang w:val="uk-UA"/>
        </w:rPr>
        <w:t>ти</w:t>
      </w:r>
      <w:r w:rsidR="00B274F9" w:rsidRPr="009868B7">
        <w:rPr>
          <w:lang w:val="uk-UA"/>
        </w:rPr>
        <w:t xml:space="preserve"> діб</w:t>
      </w:r>
      <w:r w:rsidR="00B274F9" w:rsidRPr="009868B7">
        <w:rPr>
          <w:color w:val="FF0000"/>
          <w:lang w:val="uk-UA"/>
        </w:rPr>
        <w:t xml:space="preserve"> </w:t>
      </w:r>
      <w:r w:rsidR="00B274F9" w:rsidRPr="009868B7">
        <w:rPr>
          <w:lang w:val="uk-UA"/>
        </w:rPr>
        <w:t xml:space="preserve">з моменту направлення Покупцем заявки </w:t>
      </w:r>
      <w:r w:rsidR="00B274F9" w:rsidRPr="009868B7">
        <w:t>будь-</w:t>
      </w:r>
      <w:proofErr w:type="spellStart"/>
      <w:r w:rsidR="00B274F9" w:rsidRPr="009868B7">
        <w:t>яким</w:t>
      </w:r>
      <w:proofErr w:type="spellEnd"/>
      <w:r w:rsidR="00B274F9" w:rsidRPr="009868B7">
        <w:t xml:space="preserve"> способом (листом, факсом, </w:t>
      </w:r>
      <w:proofErr w:type="spellStart"/>
      <w:r w:rsidR="00B274F9" w:rsidRPr="009868B7">
        <w:t>електронною</w:t>
      </w:r>
      <w:proofErr w:type="spellEnd"/>
      <w:r w:rsidR="00B274F9" w:rsidRPr="009868B7">
        <w:t xml:space="preserve"> </w:t>
      </w:r>
      <w:proofErr w:type="spellStart"/>
      <w:r w:rsidR="00B274F9" w:rsidRPr="009868B7">
        <w:t>поштою</w:t>
      </w:r>
      <w:proofErr w:type="spellEnd"/>
      <w:r w:rsidR="00B274F9" w:rsidRPr="009868B7">
        <w:t xml:space="preserve">, </w:t>
      </w:r>
      <w:proofErr w:type="spellStart"/>
      <w:r w:rsidR="00B274F9" w:rsidRPr="009868B7">
        <w:t>тощо</w:t>
      </w:r>
      <w:proofErr w:type="spellEnd"/>
      <w:r w:rsidR="00B274F9" w:rsidRPr="009868B7">
        <w:t>)</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lastRenderedPageBreak/>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w:t>
            </w:r>
            <w:r w:rsidRPr="009868B7">
              <w:rPr>
                <w:color w:val="222222"/>
                <w:lang w:val="uk-UA"/>
              </w:rPr>
              <w:lastRenderedPageBreak/>
              <w:t>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9868B7"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Термін придатності товару на момент поставки на склад Покупця повинен становити не менше 80% </w:t>
            </w:r>
            <w:proofErr w:type="spellStart"/>
            <w:r w:rsidRPr="009868B7">
              <w:t>від</w:t>
            </w:r>
            <w:proofErr w:type="spellEnd"/>
            <w:r w:rsidRPr="009868B7">
              <w:t xml:space="preserve"> </w:t>
            </w:r>
            <w:proofErr w:type="spellStart"/>
            <w:r w:rsidRPr="009868B7">
              <w:t>загального</w:t>
            </w:r>
            <w:proofErr w:type="spellEnd"/>
            <w:r w:rsidRPr="009868B7">
              <w:t xml:space="preserve"> </w:t>
            </w:r>
            <w:proofErr w:type="spellStart"/>
            <w:r w:rsidRPr="009868B7">
              <w:t>терміну</w:t>
            </w:r>
            <w:proofErr w:type="spellEnd"/>
            <w:r w:rsidRPr="009868B7">
              <w:t xml:space="preserve"> </w:t>
            </w:r>
            <w:proofErr w:type="spellStart"/>
            <w:r w:rsidRPr="009868B7">
              <w:t>придатності</w:t>
            </w:r>
            <w:proofErr w:type="spellEnd"/>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lastRenderedPageBreak/>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proofErr w:type="spellStart"/>
      <w:r w:rsidRPr="009868B7">
        <w:rPr>
          <w:rFonts w:ascii="Times New Roman" w:hAnsi="Times New Roman"/>
          <w:b w:val="0"/>
          <w:bCs w:val="0"/>
          <w:sz w:val="24"/>
          <w:szCs w:val="24"/>
          <w:lang w:val="ru-RU"/>
        </w:rPr>
        <w:t>Дія</w:t>
      </w:r>
      <w:proofErr w:type="spellEnd"/>
      <w:r w:rsidRPr="009868B7">
        <w:rPr>
          <w:rFonts w:ascii="Times New Roman" w:hAnsi="Times New Roman"/>
          <w:b w:val="0"/>
          <w:bCs w:val="0"/>
          <w:sz w:val="24"/>
          <w:szCs w:val="24"/>
          <w:lang w:val="ru-RU"/>
        </w:rPr>
        <w:t xml:space="preserve"> договору про </w:t>
      </w:r>
      <w:proofErr w:type="spellStart"/>
      <w:r w:rsidRPr="009868B7">
        <w:rPr>
          <w:rFonts w:ascii="Times New Roman" w:hAnsi="Times New Roman"/>
          <w:b w:val="0"/>
          <w:bCs w:val="0"/>
          <w:sz w:val="24"/>
          <w:szCs w:val="24"/>
          <w:lang w:val="ru-RU"/>
        </w:rPr>
        <w:t>закупівлю</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може</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продовжуватися</w:t>
      </w:r>
      <w:proofErr w:type="spellEnd"/>
      <w:r w:rsidRPr="009868B7">
        <w:rPr>
          <w:rFonts w:ascii="Times New Roman" w:hAnsi="Times New Roman"/>
          <w:b w:val="0"/>
          <w:bCs w:val="0"/>
          <w:sz w:val="24"/>
          <w:szCs w:val="24"/>
          <w:lang w:val="ru-RU"/>
        </w:rPr>
        <w:t xml:space="preserve"> на строк, </w:t>
      </w:r>
      <w:proofErr w:type="spellStart"/>
      <w:r w:rsidRPr="009868B7">
        <w:rPr>
          <w:rFonts w:ascii="Times New Roman" w:hAnsi="Times New Roman"/>
          <w:b w:val="0"/>
          <w:bCs w:val="0"/>
          <w:sz w:val="24"/>
          <w:szCs w:val="24"/>
          <w:lang w:val="ru-RU"/>
        </w:rPr>
        <w:t>достатній</w:t>
      </w:r>
      <w:proofErr w:type="spellEnd"/>
      <w:r w:rsidRPr="009868B7">
        <w:rPr>
          <w:rFonts w:ascii="Times New Roman" w:hAnsi="Times New Roman"/>
          <w:b w:val="0"/>
          <w:bCs w:val="0"/>
          <w:sz w:val="24"/>
          <w:szCs w:val="24"/>
          <w:lang w:val="ru-RU"/>
        </w:rPr>
        <w:t xml:space="preserve"> для </w:t>
      </w:r>
      <w:proofErr w:type="spellStart"/>
      <w:r w:rsidRPr="009868B7">
        <w:rPr>
          <w:rFonts w:ascii="Times New Roman" w:hAnsi="Times New Roman"/>
          <w:b w:val="0"/>
          <w:bCs w:val="0"/>
          <w:sz w:val="24"/>
          <w:szCs w:val="24"/>
          <w:lang w:val="ru-RU"/>
        </w:rPr>
        <w:t>проведення</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процедури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закупі</w:t>
      </w:r>
      <w:proofErr w:type="gramStart"/>
      <w:r w:rsidRPr="009868B7">
        <w:rPr>
          <w:rFonts w:ascii="Times New Roman" w:hAnsi="Times New Roman"/>
          <w:b w:val="0"/>
          <w:bCs w:val="0"/>
          <w:sz w:val="24"/>
          <w:szCs w:val="24"/>
          <w:lang w:val="ru-RU"/>
        </w:rPr>
        <w:t>вл</w:t>
      </w:r>
      <w:proofErr w:type="gramEnd"/>
      <w:r w:rsidRPr="009868B7">
        <w:rPr>
          <w:rFonts w:ascii="Times New Roman" w:hAnsi="Times New Roman"/>
          <w:b w:val="0"/>
          <w:bCs w:val="0"/>
          <w:sz w:val="24"/>
          <w:szCs w:val="24"/>
          <w:lang w:val="ru-RU"/>
        </w:rPr>
        <w:t>і</w:t>
      </w:r>
      <w:proofErr w:type="spellEnd"/>
      <w:r w:rsidRPr="009868B7">
        <w:rPr>
          <w:rFonts w:ascii="Times New Roman" w:hAnsi="Times New Roman"/>
          <w:b w:val="0"/>
          <w:bCs w:val="0"/>
          <w:sz w:val="24"/>
          <w:szCs w:val="24"/>
          <w:lang w:val="ru-RU"/>
        </w:rPr>
        <w:t xml:space="preserve"> на початку </w:t>
      </w:r>
      <w:proofErr w:type="spellStart"/>
      <w:r w:rsidRPr="009868B7">
        <w:rPr>
          <w:rFonts w:ascii="Times New Roman" w:hAnsi="Times New Roman"/>
          <w:b w:val="0"/>
          <w:bCs w:val="0"/>
          <w:sz w:val="24"/>
          <w:szCs w:val="24"/>
          <w:lang w:val="ru-RU"/>
        </w:rPr>
        <w:t>наступного</w:t>
      </w:r>
      <w:proofErr w:type="spellEnd"/>
      <w:r w:rsidRPr="009868B7">
        <w:rPr>
          <w:rFonts w:ascii="Times New Roman" w:hAnsi="Times New Roman"/>
          <w:b w:val="0"/>
          <w:bCs w:val="0"/>
          <w:sz w:val="24"/>
          <w:szCs w:val="24"/>
          <w:lang w:val="ru-RU"/>
        </w:rPr>
        <w:t xml:space="preserve"> року, в </w:t>
      </w:r>
      <w:proofErr w:type="spellStart"/>
      <w:r w:rsidRPr="009868B7">
        <w:rPr>
          <w:rFonts w:ascii="Times New Roman" w:hAnsi="Times New Roman"/>
          <w:b w:val="0"/>
          <w:bCs w:val="0"/>
          <w:sz w:val="24"/>
          <w:szCs w:val="24"/>
          <w:lang w:val="ru-RU"/>
        </w:rPr>
        <w:t>обсязі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що</w:t>
      </w:r>
      <w:proofErr w:type="spellEnd"/>
      <w:r w:rsidRPr="009868B7">
        <w:rPr>
          <w:rFonts w:ascii="Times New Roman" w:hAnsi="Times New Roman"/>
          <w:b w:val="0"/>
          <w:bCs w:val="0"/>
          <w:sz w:val="24"/>
          <w:szCs w:val="24"/>
          <w:lang w:val="ru-RU"/>
        </w:rPr>
        <w:t xml:space="preserve"> не </w:t>
      </w:r>
      <w:proofErr w:type="spellStart"/>
      <w:r w:rsidRPr="009868B7">
        <w:rPr>
          <w:rFonts w:ascii="Times New Roman" w:hAnsi="Times New Roman"/>
          <w:b w:val="0"/>
          <w:bCs w:val="0"/>
          <w:sz w:val="24"/>
          <w:szCs w:val="24"/>
          <w:lang w:val="ru-RU"/>
        </w:rPr>
        <w:t>перевищує</w:t>
      </w:r>
      <w:proofErr w:type="spellEnd"/>
      <w:r w:rsidRPr="009868B7">
        <w:rPr>
          <w:rFonts w:ascii="Times New Roman" w:hAnsi="Times New Roman"/>
          <w:b w:val="0"/>
          <w:bCs w:val="0"/>
          <w:sz w:val="24"/>
          <w:szCs w:val="24"/>
          <w:lang w:val="ru-RU"/>
        </w:rPr>
        <w:t xml:space="preserve"> 20 </w:t>
      </w:r>
      <w:proofErr w:type="spellStart"/>
      <w:r w:rsidRPr="009868B7">
        <w:rPr>
          <w:rFonts w:ascii="Times New Roman" w:hAnsi="Times New Roman"/>
          <w:b w:val="0"/>
          <w:bCs w:val="0"/>
          <w:sz w:val="24"/>
          <w:szCs w:val="24"/>
          <w:lang w:val="ru-RU"/>
        </w:rPr>
        <w:t>відсотків</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суми</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визначеної</w:t>
      </w:r>
      <w:proofErr w:type="spellEnd"/>
      <w:r w:rsidRPr="009868B7">
        <w:rPr>
          <w:rFonts w:ascii="Times New Roman" w:hAnsi="Times New Roman"/>
          <w:b w:val="0"/>
          <w:bCs w:val="0"/>
          <w:sz w:val="24"/>
          <w:szCs w:val="24"/>
          <w:lang w:val="ru-RU"/>
        </w:rPr>
        <w:t xml:space="preserve"> у </w:t>
      </w:r>
      <w:proofErr w:type="spellStart"/>
      <w:r w:rsidRPr="009868B7">
        <w:rPr>
          <w:rFonts w:ascii="Times New Roman" w:hAnsi="Times New Roman"/>
          <w:b w:val="0"/>
          <w:bCs w:val="0"/>
          <w:sz w:val="24"/>
          <w:szCs w:val="24"/>
          <w:lang w:val="ru-RU"/>
        </w:rPr>
        <w:t>договорі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укладеному</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попередньому</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році</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якщо</w:t>
      </w:r>
      <w:proofErr w:type="spellEnd"/>
      <w:r w:rsidRPr="009868B7">
        <w:rPr>
          <w:rFonts w:ascii="Times New Roman" w:hAnsi="Times New Roman"/>
          <w:b w:val="0"/>
          <w:bCs w:val="0"/>
          <w:sz w:val="24"/>
          <w:szCs w:val="24"/>
          <w:lang w:val="ru-RU"/>
        </w:rPr>
        <w:t xml:space="preserve"> </w:t>
      </w:r>
      <w:proofErr w:type="spellStart"/>
      <w:r w:rsidRPr="009868B7">
        <w:rPr>
          <w:rFonts w:ascii="Times New Roman" w:hAnsi="Times New Roman"/>
          <w:b w:val="0"/>
          <w:bCs w:val="0"/>
          <w:sz w:val="24"/>
          <w:szCs w:val="24"/>
          <w:lang w:val="ru-RU"/>
        </w:rPr>
        <w:t>видатки</w:t>
      </w:r>
      <w:proofErr w:type="spellEnd"/>
      <w:r w:rsidRPr="009868B7">
        <w:rPr>
          <w:rFonts w:ascii="Times New Roman" w:hAnsi="Times New Roman"/>
          <w:b w:val="0"/>
          <w:bCs w:val="0"/>
          <w:sz w:val="24"/>
          <w:szCs w:val="24"/>
          <w:lang w:val="ru-RU"/>
        </w:rPr>
        <w:t xml:space="preserve"> на </w:t>
      </w:r>
      <w:proofErr w:type="spellStart"/>
      <w:r w:rsidRPr="009868B7">
        <w:rPr>
          <w:rFonts w:ascii="Times New Roman" w:hAnsi="Times New Roman"/>
          <w:b w:val="0"/>
          <w:bCs w:val="0"/>
          <w:sz w:val="24"/>
          <w:szCs w:val="24"/>
          <w:lang w:val="ru-RU"/>
        </w:rPr>
        <w:t>цю</w:t>
      </w:r>
      <w:proofErr w:type="spellEnd"/>
      <w:r w:rsidRPr="009868B7">
        <w:rPr>
          <w:rFonts w:ascii="Times New Roman" w:hAnsi="Times New Roman"/>
          <w:b w:val="0"/>
          <w:bCs w:val="0"/>
          <w:sz w:val="24"/>
          <w:szCs w:val="24"/>
          <w:lang w:val="ru-RU"/>
        </w:rPr>
        <w:t xml:space="preserve"> мету </w:t>
      </w:r>
      <w:proofErr w:type="spellStart"/>
      <w:r w:rsidRPr="009868B7">
        <w:rPr>
          <w:rFonts w:ascii="Times New Roman" w:hAnsi="Times New Roman"/>
          <w:b w:val="0"/>
          <w:bCs w:val="0"/>
          <w:sz w:val="24"/>
          <w:szCs w:val="24"/>
          <w:lang w:val="ru-RU"/>
        </w:rPr>
        <w:t>затверджено</w:t>
      </w:r>
      <w:proofErr w:type="spellEnd"/>
      <w:r w:rsidRPr="009868B7">
        <w:rPr>
          <w:rFonts w:ascii="Times New Roman" w:hAnsi="Times New Roman"/>
          <w:b w:val="0"/>
          <w:bCs w:val="0"/>
          <w:sz w:val="24"/>
          <w:szCs w:val="24"/>
          <w:lang w:val="ru-RU"/>
        </w:rPr>
        <w:t xml:space="preserve"> в </w:t>
      </w:r>
      <w:proofErr w:type="spellStart"/>
      <w:r w:rsidRPr="009868B7">
        <w:rPr>
          <w:rFonts w:ascii="Times New Roman" w:hAnsi="Times New Roman"/>
          <w:b w:val="0"/>
          <w:bCs w:val="0"/>
          <w:sz w:val="24"/>
          <w:szCs w:val="24"/>
          <w:lang w:val="ru-RU"/>
        </w:rPr>
        <w:t>установленому</w:t>
      </w:r>
      <w:proofErr w:type="spellEnd"/>
      <w:r w:rsidRPr="009868B7">
        <w:rPr>
          <w:rFonts w:ascii="Times New Roman" w:hAnsi="Times New Roman"/>
          <w:b w:val="0"/>
          <w:bCs w:val="0"/>
          <w:sz w:val="24"/>
          <w:szCs w:val="24"/>
          <w:lang w:val="ru-RU"/>
        </w:rPr>
        <w:t xml:space="preserve">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4A146E"/>
    <w:rsid w:val="004A3AB0"/>
    <w:rsid w:val="005D0B48"/>
    <w:rsid w:val="009868B7"/>
    <w:rsid w:val="009B1B27"/>
    <w:rsid w:val="00B274F9"/>
    <w:rsid w:val="00DA5D83"/>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9070">
      <w:bodyDiv w:val="1"/>
      <w:marLeft w:val="0"/>
      <w:marRight w:val="0"/>
      <w:marTop w:val="0"/>
      <w:marBottom w:val="0"/>
      <w:divBdr>
        <w:top w:val="none" w:sz="0" w:space="0" w:color="auto"/>
        <w:left w:val="none" w:sz="0" w:space="0" w:color="auto"/>
        <w:bottom w:val="none" w:sz="0" w:space="0" w:color="auto"/>
        <w:right w:val="none" w:sz="0" w:space="0" w:color="auto"/>
      </w:divBdr>
    </w:div>
    <w:div w:id="18344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1867</Words>
  <Characters>10646</Characters>
  <Application>Microsoft Office Word</Application>
  <DocSecurity>0</DocSecurity>
  <Lines>88</Lines>
  <Paragraphs>24</Paragraphs>
  <ScaleCrop>false</ScaleCrop>
  <Company>SPecialiST RePack</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2023-03-13T08:46:00Z</dcterms:created>
  <dcterms:modified xsi:type="dcterms:W3CDTF">2023-03-30T09:42:00Z</dcterms:modified>
</cp:coreProperties>
</file>