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0820A36C" w:rsidR="005D576A" w:rsidRPr="009C077B" w:rsidRDefault="0087339E" w:rsidP="00250780">
            <w:pPr>
              <w:pStyle w:val="19"/>
              <w:ind w:right="142"/>
              <w:rPr>
                <w:rFonts w:ascii="Times New Roman" w:hAnsi="Times New Roman"/>
                <w:sz w:val="28"/>
                <w:szCs w:val="28"/>
                <w:lang w:val="uk-UA"/>
              </w:rPr>
            </w:pPr>
            <w:r w:rsidRPr="009C077B">
              <w:rPr>
                <w:rFonts w:ascii="Times New Roman" w:hAnsi="Times New Roman"/>
                <w:sz w:val="28"/>
                <w:szCs w:val="28"/>
                <w:lang w:val="uk-UA"/>
              </w:rPr>
              <w:t>від «</w:t>
            </w:r>
            <w:r w:rsidR="0051075D">
              <w:rPr>
                <w:rFonts w:ascii="Times New Roman" w:hAnsi="Times New Roman"/>
                <w:sz w:val="28"/>
                <w:szCs w:val="28"/>
                <w:u w:val="single"/>
                <w:lang w:val="uk-UA"/>
              </w:rPr>
              <w:t>13</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250780">
              <w:rPr>
                <w:rFonts w:ascii="Times New Roman" w:hAnsi="Times New Roman"/>
                <w:sz w:val="28"/>
                <w:szCs w:val="28"/>
                <w:u w:val="single"/>
                <w:lang w:val="uk-UA"/>
              </w:rPr>
              <w:t>верес</w:t>
            </w:r>
            <w:r w:rsidR="00E778D7">
              <w:rPr>
                <w:rFonts w:ascii="Times New Roman" w:hAnsi="Times New Roman"/>
                <w:sz w:val="28"/>
                <w:szCs w:val="28"/>
                <w:u w:val="single"/>
                <w:lang w:val="uk-UA"/>
              </w:rPr>
              <w:t>ня</w:t>
            </w:r>
            <w:r w:rsidR="004A707D"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2C4073">
              <w:rPr>
                <w:rFonts w:ascii="Times New Roman" w:hAnsi="Times New Roman"/>
                <w:sz w:val="28"/>
                <w:szCs w:val="28"/>
                <w:u w:val="single"/>
                <w:lang w:val="uk-UA"/>
              </w:rPr>
              <w:t>2</w:t>
            </w:r>
            <w:r w:rsidR="0051075D">
              <w:rPr>
                <w:rFonts w:ascii="Times New Roman" w:hAnsi="Times New Roman"/>
                <w:sz w:val="28"/>
                <w:szCs w:val="28"/>
                <w:u w:val="single"/>
                <w:lang w:val="uk-UA"/>
              </w:rPr>
              <w:t>44</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3ED822DC" w:rsidR="008D1773" w:rsidRPr="009C077B" w:rsidRDefault="0051075D" w:rsidP="008D1773">
            <w:pPr>
              <w:pStyle w:val="rvps2"/>
              <w:spacing w:before="0" w:beforeAutospacing="0" w:after="0" w:afterAutospacing="0"/>
              <w:jc w:val="center"/>
              <w:rPr>
                <w:sz w:val="28"/>
                <w:szCs w:val="28"/>
              </w:rPr>
            </w:pPr>
            <w:r>
              <w:rPr>
                <w:sz w:val="28"/>
                <w:szCs w:val="28"/>
              </w:rPr>
              <w:t>КУТИК</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49974FA0" w:rsidR="008D1773" w:rsidRPr="00CE7D83" w:rsidRDefault="0051075D" w:rsidP="008D1773">
            <w:pPr>
              <w:pBdr>
                <w:top w:val="single" w:sz="4" w:space="1" w:color="auto"/>
              </w:pBdr>
              <w:ind w:right="142"/>
              <w:jc w:val="center"/>
              <w:rPr>
                <w:rFonts w:ascii="Times New Roman" w:hAnsi="Times New Roman" w:cs="Times New Roman"/>
                <w:sz w:val="28"/>
                <w:szCs w:val="28"/>
                <w:lang w:val="uk-UA"/>
              </w:rPr>
            </w:pPr>
            <w:r>
              <w:t xml:space="preserve">СВРЗ-23Т_041_ВО: </w:t>
            </w:r>
            <w:r w:rsidRPr="00876912">
              <w:rPr>
                <w:b/>
              </w:rPr>
              <w:t>ДК 021:2015</w:t>
            </w:r>
            <w:r>
              <w:rPr>
                <w:b/>
              </w:rPr>
              <w:t xml:space="preserve"> – 14620000 – 3 – Сплави (Кутик)</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030E5042" w14:textId="77777777" w:rsidR="00D86B66" w:rsidRPr="009C077B" w:rsidRDefault="00D86B66" w:rsidP="00A412DA">
      <w:pPr>
        <w:ind w:right="142"/>
        <w:rPr>
          <w:rFonts w:ascii="Times New Roman" w:hAnsi="Times New Roman" w:cs="Times New Roman"/>
          <w:sz w:val="28"/>
          <w:szCs w:val="28"/>
          <w:lang w:val="uk-UA"/>
        </w:rPr>
      </w:pPr>
    </w:p>
    <w:p w14:paraId="5729A6DA" w14:textId="77777777" w:rsidR="005D576A" w:rsidRPr="009C077B" w:rsidRDefault="005D576A" w:rsidP="00A412DA">
      <w:pPr>
        <w:ind w:right="142"/>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2C4073"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1BF0FD33"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Pr="005F25C3">
                <w:rPr>
                  <w:rStyle w:val="a6"/>
                  <w:rFonts w:eastAsia="Batang"/>
                  <w:lang w:val="en-US"/>
                </w:rPr>
                <w:t>popovych</w:t>
              </w:r>
              <w:r w:rsidRPr="00E778D7">
                <w:rPr>
                  <w:rStyle w:val="a6"/>
                  <w:rFonts w:eastAsia="Batang"/>
                  <w:lang w:val="en-US"/>
                </w:rPr>
                <w:t>.</w:t>
              </w:r>
              <w:r w:rsidRPr="005F25C3">
                <w:rPr>
                  <w:rStyle w:val="a6"/>
                  <w:rFonts w:eastAsia="Batang"/>
                  <w:lang w:val="en-US"/>
                </w:rPr>
                <w:t>u</w:t>
              </w:r>
              <w:r w:rsidRPr="00E778D7">
                <w:rPr>
                  <w:rStyle w:val="a6"/>
                  <w:rFonts w:eastAsia="Batang"/>
                  <w:lang w:val="en-US"/>
                </w:rPr>
                <w:t>.</w:t>
              </w:r>
              <w:r w:rsidRPr="005F25C3">
                <w:rPr>
                  <w:rStyle w:val="a6"/>
                  <w:rFonts w:eastAsia="Batang"/>
                  <w:lang w:val="en-US"/>
                </w:rPr>
                <w:t>s</w:t>
              </w:r>
              <w:r w:rsidRPr="00E778D7">
                <w:rPr>
                  <w:rStyle w:val="a6"/>
                  <w:rFonts w:eastAsia="Batang"/>
                  <w:lang w:val="en-US"/>
                </w:rPr>
                <w:t>.@</w:t>
              </w:r>
              <w:r w:rsidRPr="005F25C3">
                <w:rPr>
                  <w:rStyle w:val="a6"/>
                  <w:rFonts w:eastAsia="Batang"/>
                  <w:lang w:val="en-US"/>
                </w:rPr>
                <w:t>swrz</w:t>
              </w:r>
              <w:r w:rsidRPr="00E778D7">
                <w:rPr>
                  <w:rStyle w:val="a6"/>
                  <w:rFonts w:eastAsia="Batang"/>
                  <w:lang w:val="en-US"/>
                </w:rPr>
                <w:t>.</w:t>
              </w:r>
              <w:r w:rsidRPr="005F25C3">
                <w:rPr>
                  <w:rStyle w:val="a6"/>
                  <w:rFonts w:eastAsia="Batang"/>
                  <w:lang w:val="en-US"/>
                </w:rPr>
                <w:t>com</w:t>
              </w:r>
              <w:r w:rsidRPr="00E778D7">
                <w:rPr>
                  <w:rStyle w:val="a6"/>
                  <w:rFonts w:eastAsia="Batang"/>
                  <w:lang w:val="en-US"/>
                </w:rPr>
                <w:t>.</w:t>
              </w:r>
              <w:r w:rsidRPr="005F25C3">
                <w:rPr>
                  <w:rStyle w:val="a6"/>
                  <w:rFonts w:eastAsia="Batang"/>
                  <w:lang w:val="en-US"/>
                </w:rPr>
                <w:t>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0A6807AC"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2C4073">
              <w:rPr>
                <w:rFonts w:eastAsia="Batang"/>
                <w:bCs/>
                <w:color w:val="000000"/>
                <w:lang w:val="uk-UA"/>
              </w:rPr>
              <w:t>Питель Богдан Антонович</w:t>
            </w:r>
            <w:r w:rsidR="005A0833">
              <w:rPr>
                <w:rFonts w:eastAsia="Batang"/>
                <w:bCs/>
                <w:color w:val="000000"/>
                <w:lang w:val="uk-UA"/>
              </w:rPr>
              <w:t xml:space="preserve"> </w:t>
            </w:r>
            <w:r w:rsidR="00EA2E5C" w:rsidRPr="00EA2E5C">
              <w:rPr>
                <w:rFonts w:eastAsia="Batang"/>
                <w:bCs/>
                <w:color w:val="000000"/>
                <w:lang w:val="uk-UA"/>
              </w:rPr>
              <w:t xml:space="preserve"> </w:t>
            </w:r>
            <w:r w:rsidR="005A0833">
              <w:rPr>
                <w:rFonts w:eastAsia="Batang"/>
                <w:bCs/>
                <w:color w:val="000000"/>
                <w:lang w:val="uk-UA"/>
              </w:rPr>
              <w:t>0</w:t>
            </w:r>
            <w:r w:rsidR="002C4073">
              <w:rPr>
                <w:rFonts w:eastAsia="Batang"/>
                <w:bCs/>
                <w:color w:val="000000"/>
                <w:lang w:val="uk-UA"/>
              </w:rPr>
              <w:t>633193291</w:t>
            </w:r>
            <w:r w:rsidR="00EA2E5C" w:rsidRPr="00EA2E5C">
              <w:rPr>
                <w:rFonts w:eastAsia="Batang"/>
                <w:bCs/>
                <w:color w:val="000000"/>
                <w:lang w:val="uk-UA"/>
              </w:rPr>
              <w:t xml:space="preserve">; </w:t>
            </w:r>
            <w:r w:rsidR="00EA2E5C" w:rsidRPr="00E732E0">
              <w:rPr>
                <w:rFonts w:eastAsia="Batang"/>
                <w:bCs/>
                <w:color w:val="000000"/>
                <w:lang w:val="en-US"/>
              </w:rPr>
              <w:t>e</w:t>
            </w:r>
            <w:r w:rsidR="00EA2E5C" w:rsidRPr="00EA2E5C">
              <w:rPr>
                <w:rFonts w:eastAsia="Batang"/>
                <w:bCs/>
                <w:color w:val="000000"/>
                <w:lang w:val="uk-UA"/>
              </w:rPr>
              <w:t>-</w:t>
            </w:r>
            <w:r w:rsidR="00EA2E5C" w:rsidRPr="00E732E0">
              <w:rPr>
                <w:rFonts w:eastAsia="Batang"/>
                <w:bCs/>
                <w:color w:val="000000"/>
                <w:lang w:val="en-US"/>
              </w:rPr>
              <w:t>mail</w:t>
            </w:r>
            <w:r w:rsidR="00EA2E5C" w:rsidRPr="00EA2E5C">
              <w:rPr>
                <w:rFonts w:eastAsia="Batang"/>
                <w:bCs/>
                <w:color w:val="000000"/>
                <w:lang w:val="uk-UA"/>
              </w:rPr>
              <w:t xml:space="preserve">: </w:t>
            </w:r>
            <w:r w:rsidR="002C4073">
              <w:rPr>
                <w:rFonts w:eastAsia="Batang"/>
                <w:bCs/>
                <w:color w:val="000000"/>
                <w:lang w:val="en-US"/>
              </w:rPr>
              <w:t>pytel</w:t>
            </w:r>
            <w:r w:rsidR="002C4073" w:rsidRPr="002C4073">
              <w:rPr>
                <w:rFonts w:eastAsia="Batang"/>
                <w:bCs/>
                <w:color w:val="000000"/>
              </w:rPr>
              <w:t>.</w:t>
            </w:r>
            <w:r w:rsidR="002C4073">
              <w:rPr>
                <w:rFonts w:eastAsia="Batang"/>
                <w:bCs/>
                <w:color w:val="000000"/>
                <w:lang w:val="en-US"/>
              </w:rPr>
              <w:t>b</w:t>
            </w:r>
            <w:r w:rsidR="002C4073" w:rsidRPr="002C4073">
              <w:rPr>
                <w:rFonts w:eastAsia="Batang"/>
                <w:bCs/>
                <w:color w:val="000000"/>
              </w:rPr>
              <w:t>.</w:t>
            </w:r>
            <w:r w:rsidR="002C4073">
              <w:rPr>
                <w:rFonts w:eastAsia="Batang"/>
                <w:bCs/>
                <w:color w:val="000000"/>
                <w:lang w:val="en-US"/>
              </w:rPr>
              <w:t>a</w:t>
            </w:r>
            <w:r w:rsidR="00EA2E5C" w:rsidRPr="00EA2E5C">
              <w:rPr>
                <w:rFonts w:eastAsia="Batang"/>
                <w:bCs/>
                <w:color w:val="000000"/>
                <w:lang w:val="uk-UA"/>
              </w:rPr>
              <w:t>@</w:t>
            </w:r>
            <w:r w:rsidR="00EA2E5C" w:rsidRPr="00E732E0">
              <w:rPr>
                <w:rFonts w:eastAsia="Batang"/>
                <w:bCs/>
                <w:color w:val="000000"/>
                <w:lang w:val="en-US"/>
              </w:rPr>
              <w:t>swrz</w:t>
            </w:r>
            <w:r w:rsidR="00EA2E5C" w:rsidRPr="00EA2E5C">
              <w:rPr>
                <w:rFonts w:eastAsia="Batang"/>
                <w:bCs/>
                <w:color w:val="000000"/>
                <w:lang w:val="uk-UA"/>
              </w:rPr>
              <w:t>.</w:t>
            </w:r>
            <w:r w:rsidR="00EA2E5C" w:rsidRPr="00E732E0">
              <w:rPr>
                <w:rFonts w:eastAsia="Batang"/>
                <w:bCs/>
                <w:color w:val="000000"/>
                <w:lang w:val="en-US"/>
              </w:rPr>
              <w:t>com</w:t>
            </w:r>
            <w:r w:rsidR="00EA2E5C" w:rsidRPr="00EA2E5C">
              <w:rPr>
                <w:rFonts w:eastAsia="Batang"/>
                <w:bCs/>
                <w:color w:val="000000"/>
                <w:lang w:val="uk-UA"/>
              </w:rPr>
              <w:t>.</w:t>
            </w:r>
            <w:r w:rsidR="00EA2E5C" w:rsidRPr="00E732E0">
              <w:rPr>
                <w:rFonts w:eastAsia="Batang"/>
                <w:bCs/>
                <w:color w:val="000000"/>
                <w:lang w:val="en-US"/>
              </w:rPr>
              <w:t>ua</w:t>
            </w:r>
            <w:r w:rsidR="00EA2E5C" w:rsidRPr="00EA2E5C">
              <w:rPr>
                <w:rFonts w:eastAsia="Batang"/>
                <w:bCs/>
                <w:color w:val="000000"/>
                <w:lang w:val="uk-UA"/>
              </w:rPr>
              <w:t xml:space="preserve"> </w:t>
            </w:r>
            <w:r w:rsidRPr="00EA2E5C">
              <w:rPr>
                <w:rFonts w:eastAsia="Batang"/>
                <w:bCs/>
                <w:color w:val="000000"/>
                <w:lang w:val="uk-UA"/>
              </w:rPr>
              <w:t xml:space="preserve"> </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5796335"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2C4073">
              <w:rPr>
                <w:rFonts w:eastAsia="Batang"/>
                <w:bCs/>
                <w:color w:val="000000"/>
                <w:lang w:val="uk-UA"/>
              </w:rPr>
              <w:t xml:space="preserve">Питель Богдан Антонович </w:t>
            </w:r>
            <w:r w:rsidR="002C4073" w:rsidRPr="00EA2E5C">
              <w:rPr>
                <w:rFonts w:eastAsia="Batang"/>
                <w:bCs/>
                <w:color w:val="000000"/>
                <w:lang w:val="uk-UA"/>
              </w:rPr>
              <w:t xml:space="preserve"> </w:t>
            </w:r>
            <w:r w:rsidR="002C4073">
              <w:rPr>
                <w:rFonts w:eastAsia="Batang"/>
                <w:bCs/>
                <w:color w:val="000000"/>
                <w:lang w:val="uk-UA"/>
              </w:rPr>
              <w:t>0633193291</w:t>
            </w:r>
            <w:r w:rsidR="002C4073" w:rsidRPr="00EA2E5C">
              <w:rPr>
                <w:rFonts w:eastAsia="Batang"/>
                <w:bCs/>
                <w:color w:val="000000"/>
                <w:lang w:val="uk-UA"/>
              </w:rPr>
              <w:t xml:space="preserve">; </w:t>
            </w:r>
            <w:r w:rsidR="002C4073" w:rsidRPr="00E732E0">
              <w:rPr>
                <w:rFonts w:eastAsia="Batang"/>
                <w:bCs/>
                <w:color w:val="000000"/>
                <w:lang w:val="en-US"/>
              </w:rPr>
              <w:t>e</w:t>
            </w:r>
            <w:r w:rsidR="002C4073" w:rsidRPr="00EA2E5C">
              <w:rPr>
                <w:rFonts w:eastAsia="Batang"/>
                <w:bCs/>
                <w:color w:val="000000"/>
                <w:lang w:val="uk-UA"/>
              </w:rPr>
              <w:t>-</w:t>
            </w:r>
            <w:r w:rsidR="002C4073" w:rsidRPr="00E732E0">
              <w:rPr>
                <w:rFonts w:eastAsia="Batang"/>
                <w:bCs/>
                <w:color w:val="000000"/>
                <w:lang w:val="en-US"/>
              </w:rPr>
              <w:t>mail</w:t>
            </w:r>
            <w:r w:rsidR="002C4073" w:rsidRPr="00EA2E5C">
              <w:rPr>
                <w:rFonts w:eastAsia="Batang"/>
                <w:bCs/>
                <w:color w:val="000000"/>
                <w:lang w:val="uk-UA"/>
              </w:rPr>
              <w:t xml:space="preserve">: </w:t>
            </w:r>
            <w:r w:rsidR="002C4073">
              <w:rPr>
                <w:rFonts w:eastAsia="Batang"/>
                <w:bCs/>
                <w:color w:val="000000"/>
                <w:lang w:val="en-US"/>
              </w:rPr>
              <w:t>pytel</w:t>
            </w:r>
            <w:r w:rsidR="002C4073" w:rsidRPr="002C4073">
              <w:rPr>
                <w:rFonts w:eastAsia="Batang"/>
                <w:bCs/>
                <w:color w:val="000000"/>
              </w:rPr>
              <w:t>.</w:t>
            </w:r>
            <w:r w:rsidR="002C4073">
              <w:rPr>
                <w:rFonts w:eastAsia="Batang"/>
                <w:bCs/>
                <w:color w:val="000000"/>
                <w:lang w:val="en-US"/>
              </w:rPr>
              <w:t>b</w:t>
            </w:r>
            <w:r w:rsidR="002C4073" w:rsidRPr="002C4073">
              <w:rPr>
                <w:rFonts w:eastAsia="Batang"/>
                <w:bCs/>
                <w:color w:val="000000"/>
              </w:rPr>
              <w:t>.</w:t>
            </w:r>
            <w:r w:rsidR="002C4073">
              <w:rPr>
                <w:rFonts w:eastAsia="Batang"/>
                <w:bCs/>
                <w:color w:val="000000"/>
                <w:lang w:val="en-US"/>
              </w:rPr>
              <w:t>a</w:t>
            </w:r>
            <w:r w:rsidR="002C4073" w:rsidRPr="00EA2E5C">
              <w:rPr>
                <w:rFonts w:eastAsia="Batang"/>
                <w:bCs/>
                <w:color w:val="000000"/>
                <w:lang w:val="uk-UA"/>
              </w:rPr>
              <w:t>@</w:t>
            </w:r>
            <w:r w:rsidR="002C4073" w:rsidRPr="00E732E0">
              <w:rPr>
                <w:rFonts w:eastAsia="Batang"/>
                <w:bCs/>
                <w:color w:val="000000"/>
                <w:lang w:val="en-US"/>
              </w:rPr>
              <w:t>swrz</w:t>
            </w:r>
            <w:r w:rsidR="002C4073" w:rsidRPr="00EA2E5C">
              <w:rPr>
                <w:rFonts w:eastAsia="Batang"/>
                <w:bCs/>
                <w:color w:val="000000"/>
                <w:lang w:val="uk-UA"/>
              </w:rPr>
              <w:t>.</w:t>
            </w:r>
            <w:r w:rsidR="002C4073" w:rsidRPr="00E732E0">
              <w:rPr>
                <w:rFonts w:eastAsia="Batang"/>
                <w:bCs/>
                <w:color w:val="000000"/>
                <w:lang w:val="en-US"/>
              </w:rPr>
              <w:t>com</w:t>
            </w:r>
            <w:r w:rsidR="002C4073" w:rsidRPr="00EA2E5C">
              <w:rPr>
                <w:rFonts w:eastAsia="Batang"/>
                <w:bCs/>
                <w:color w:val="000000"/>
                <w:lang w:val="uk-UA"/>
              </w:rPr>
              <w:t>.</w:t>
            </w:r>
            <w:r w:rsidR="002C4073" w:rsidRPr="00E732E0">
              <w:rPr>
                <w:rFonts w:eastAsia="Batang"/>
                <w:bCs/>
                <w:color w:val="000000"/>
                <w:lang w:val="en-US"/>
              </w:rPr>
              <w:t>ua</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73511A81" w14:textId="77777777" w:rsidR="0051075D" w:rsidRPr="009C077B" w:rsidRDefault="0051075D" w:rsidP="0051075D">
            <w:pPr>
              <w:pStyle w:val="rvps2"/>
              <w:spacing w:before="0" w:beforeAutospacing="0" w:after="0" w:afterAutospacing="0"/>
              <w:jc w:val="center"/>
              <w:rPr>
                <w:sz w:val="28"/>
                <w:szCs w:val="28"/>
              </w:rPr>
            </w:pPr>
            <w:r>
              <w:rPr>
                <w:sz w:val="28"/>
                <w:szCs w:val="28"/>
              </w:rPr>
              <w:t>КУТИК</w:t>
            </w:r>
          </w:p>
          <w:p w14:paraId="0972C652" w14:textId="77777777" w:rsidR="0051075D" w:rsidRPr="009C077B" w:rsidRDefault="0051075D" w:rsidP="0051075D">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132EEA38" w14:textId="77777777" w:rsidR="0051075D" w:rsidRPr="009C077B" w:rsidRDefault="0051075D" w:rsidP="0051075D">
            <w:pPr>
              <w:pBdr>
                <w:top w:val="single" w:sz="4" w:space="1" w:color="auto"/>
              </w:pBdr>
              <w:ind w:right="142"/>
              <w:jc w:val="both"/>
              <w:rPr>
                <w:rFonts w:ascii="Times New Roman" w:hAnsi="Times New Roman" w:cs="Times New Roman"/>
                <w:szCs w:val="22"/>
                <w:lang w:val="uk-UA"/>
              </w:rPr>
            </w:pPr>
          </w:p>
          <w:p w14:paraId="09DC2330" w14:textId="77777777" w:rsidR="0051075D" w:rsidRPr="00CE7D83" w:rsidRDefault="0051075D" w:rsidP="0051075D">
            <w:pPr>
              <w:pBdr>
                <w:top w:val="single" w:sz="4" w:space="1" w:color="auto"/>
              </w:pBdr>
              <w:ind w:right="142"/>
              <w:jc w:val="center"/>
              <w:rPr>
                <w:rFonts w:ascii="Times New Roman" w:hAnsi="Times New Roman" w:cs="Times New Roman"/>
                <w:sz w:val="28"/>
                <w:szCs w:val="28"/>
                <w:lang w:val="uk-UA"/>
              </w:rPr>
            </w:pPr>
            <w:r>
              <w:t xml:space="preserve">СВРЗ-23Т_041_ВО: </w:t>
            </w:r>
            <w:r w:rsidRPr="00876912">
              <w:rPr>
                <w:b/>
              </w:rPr>
              <w:t>ДК 021:2015</w:t>
            </w:r>
            <w:r>
              <w:rPr>
                <w:b/>
              </w:rPr>
              <w:t xml:space="preserve"> – 14620000 – 3 – Сплави (Кутик)</w:t>
            </w:r>
          </w:p>
          <w:p w14:paraId="5D3EAECB" w14:textId="77777777" w:rsidR="0051075D" w:rsidRPr="009C077B" w:rsidRDefault="0051075D" w:rsidP="0051075D">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p>
          <w:p w14:paraId="7ACEA6C4" w14:textId="4B320A44" w:rsidR="00057DA4" w:rsidRPr="002C4073" w:rsidRDefault="0051075D" w:rsidP="0051075D">
            <w:pPr>
              <w:pBdr>
                <w:top w:val="single" w:sz="4" w:space="1" w:color="auto"/>
              </w:pBdr>
              <w:ind w:left="127" w:right="127"/>
              <w:jc w:val="center"/>
              <w:rPr>
                <w:sz w:val="20"/>
                <w:szCs w:val="20"/>
                <w:lang w:val="uk-UA"/>
              </w:rPr>
            </w:pPr>
            <w:r>
              <w:rPr>
                <w:sz w:val="20"/>
                <w:szCs w:val="20"/>
                <w:lang w:val="uk-UA"/>
              </w:rPr>
              <w:t>«Єдиний закупівельний словник</w:t>
            </w:r>
            <w:r w:rsidR="002C4073" w:rsidRPr="009C077B">
              <w:rPr>
                <w:sz w:val="20"/>
                <w:szCs w:val="20"/>
                <w:lang w:val="uk-UA"/>
              </w:rPr>
              <w:t>»</w:t>
            </w: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469D8905" w:rsidR="00E7348C" w:rsidRPr="002C4073" w:rsidRDefault="004358ED" w:rsidP="0051075D">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t xml:space="preserve">Кількість: </w:t>
            </w:r>
            <w:r w:rsidR="0051075D">
              <w:rPr>
                <w:rFonts w:ascii="Times New Roman" w:hAnsi="Times New Roman" w:cs="Times New Roman"/>
                <w:b/>
                <w:lang w:val="uk-UA"/>
              </w:rPr>
              <w:t>26</w:t>
            </w:r>
            <w:r w:rsidR="002C4073">
              <w:rPr>
                <w:rFonts w:ascii="Times New Roman" w:hAnsi="Times New Roman" w:cs="Times New Roman"/>
                <w:b/>
                <w:lang w:val="en-US"/>
              </w:rPr>
              <w:t xml:space="preserve"> </w:t>
            </w:r>
            <w:r w:rsidR="002C4073">
              <w:rPr>
                <w:rFonts w:ascii="Times New Roman" w:hAnsi="Times New Roman" w:cs="Times New Roman"/>
                <w:b/>
                <w:lang w:val="uk-UA"/>
              </w:rPr>
              <w:t>т</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21D38806" w:rsidR="00027C57" w:rsidRPr="009C077B" w:rsidRDefault="00297DB1" w:rsidP="002C4073">
            <w:pPr>
              <w:ind w:left="127" w:right="127" w:firstLine="141"/>
              <w:jc w:val="both"/>
              <w:rPr>
                <w:lang w:val="uk-UA"/>
              </w:rPr>
            </w:pPr>
            <w:r w:rsidRPr="009C077B">
              <w:rPr>
                <w:lang w:val="uk-UA"/>
              </w:rPr>
              <w:lastRenderedPageBreak/>
              <w:t xml:space="preserve">протягом </w:t>
            </w:r>
            <w:r w:rsidR="002C4073">
              <w:rPr>
                <w:b/>
                <w:lang w:val="uk-UA"/>
              </w:rPr>
              <w:t>10</w:t>
            </w:r>
            <w:r w:rsidRPr="00421F02">
              <w:rPr>
                <w:b/>
                <w:lang w:val="uk-UA"/>
              </w:rPr>
              <w:t xml:space="preserve"> (</w:t>
            </w:r>
            <w:r w:rsidR="002C4073">
              <w:rPr>
                <w:b/>
                <w:lang w:val="uk-UA"/>
              </w:rPr>
              <w:t>десяти</w:t>
            </w:r>
            <w:r w:rsidRPr="00421F02">
              <w:rPr>
                <w:b/>
                <w:lang w:val="uk-UA"/>
              </w:rPr>
              <w:t>)</w:t>
            </w:r>
            <w:r w:rsidRPr="009C077B">
              <w:rPr>
                <w:lang w:val="uk-UA"/>
              </w:rPr>
              <w:t xml:space="preserve"> календарних днів з моменту надання </w:t>
            </w:r>
            <w:r w:rsidRPr="009C077B">
              <w:rPr>
                <w:lang w:val="uk-UA"/>
              </w:rPr>
              <w:lastRenderedPageBreak/>
              <w:t xml:space="preserve">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lastRenderedPageBreak/>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51075D"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тендерної </w:t>
            </w:r>
            <w:r w:rsidRPr="009C077B">
              <w:rPr>
                <w:b/>
              </w:rPr>
              <w:lastRenderedPageBreak/>
              <w:t>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w:t>
            </w:r>
            <w:r w:rsidRPr="009C077B">
              <w:rPr>
                <w:rFonts w:ascii="Times New Roman" w:hAnsi="Times New Roman" w:cs="Times New Roman"/>
                <w:lang w:val="uk-UA"/>
              </w:rPr>
              <w:lastRenderedPageBreak/>
              <w:t xml:space="preserve">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51075D"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6B2EADBC" w:rsidR="00B33F3E" w:rsidRPr="009C077B" w:rsidRDefault="00B33F3E" w:rsidP="00CD29C5">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51075D">
              <w:rPr>
                <w:b/>
                <w:lang w:val="uk-UA"/>
              </w:rPr>
              <w:t>23</w:t>
            </w:r>
            <w:r w:rsidR="00250780">
              <w:rPr>
                <w:b/>
                <w:lang w:val="uk-UA"/>
              </w:rPr>
              <w:t>.09</w:t>
            </w:r>
            <w:r w:rsidRPr="00155140">
              <w:rPr>
                <w:b/>
                <w:lang w:val="uk-UA"/>
              </w:rPr>
              <w:t>.</w:t>
            </w:r>
            <w:r w:rsidRPr="00975D71">
              <w:rPr>
                <w:b/>
                <w:lang w:val="uk-UA"/>
              </w:rPr>
              <w:t>2023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lastRenderedPageBreak/>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lastRenderedPageBreak/>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За підроблення документів, печаток, штампів та бланків чи </w:t>
            </w:r>
            <w:r w:rsidRPr="009C077B">
              <w:rPr>
                <w:rStyle w:val="rvts0"/>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w:t>
            </w:r>
            <w:r w:rsidRPr="009C077B">
              <w:rPr>
                <w:rStyle w:val="rvts0"/>
              </w:rPr>
              <w:lastRenderedPageBreak/>
              <w:t>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w:t>
            </w:r>
            <w:r w:rsidRPr="009C077B">
              <w:rPr>
                <w:rStyle w:val="rvts0"/>
              </w:rPr>
              <w:lastRenderedPageBreak/>
              <w:t>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 xml:space="preserve">Відхилення тендерних </w:t>
            </w:r>
            <w:r w:rsidRPr="009C077B">
              <w:rPr>
                <w:b/>
                <w:bCs/>
              </w:rPr>
              <w:lastRenderedPageBreak/>
              <w:t>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lastRenderedPageBreak/>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 xml:space="preserve">відповідно до пунктів </w:t>
            </w:r>
            <w:r w:rsidRPr="009C077B">
              <w:lastRenderedPageBreak/>
              <w:t>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lastRenderedPageBreak/>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5F3A8F9F" w14:textId="77777777" w:rsidR="002457A4" w:rsidRPr="00D22215" w:rsidRDefault="002457A4" w:rsidP="002457A4">
            <w:pPr>
              <w:ind w:left="127" w:right="127" w:firstLine="141"/>
              <w:jc w:val="both"/>
              <w:rPr>
                <w:rStyle w:val="af7"/>
                <w:rFonts w:eastAsia="Calibri"/>
                <w:b w:val="0"/>
                <w:lang w:val="uk-UA"/>
              </w:rPr>
            </w:pPr>
            <w:bookmarkStart w:id="18" w:name="n463"/>
            <w:bookmarkEnd w:id="18"/>
            <w:r w:rsidRPr="00D22215">
              <w:rPr>
                <w:bCs/>
                <w:lang w:val="uk-UA"/>
              </w:rPr>
              <w:t>Цією</w:t>
            </w:r>
            <w:r w:rsidRPr="00D22215">
              <w:rPr>
                <w:rStyle w:val="af7"/>
                <w:rFonts w:eastAsia="Calibri"/>
                <w:lang w:val="uk-UA"/>
              </w:rPr>
              <w:t xml:space="preserve"> </w:t>
            </w:r>
            <w:r w:rsidRPr="00D22215">
              <w:rPr>
                <w:rStyle w:val="af7"/>
                <w:rFonts w:eastAsia="Calibri"/>
                <w:b w:val="0"/>
                <w:lang w:val="uk-UA"/>
              </w:rPr>
              <w:t xml:space="preserve">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5 % (п’ять відсотків) від вартості договору про закупівлю. </w:t>
            </w:r>
          </w:p>
          <w:p w14:paraId="64A4BBCC" w14:textId="77777777" w:rsidR="002457A4" w:rsidRPr="00D22215" w:rsidRDefault="002457A4" w:rsidP="002457A4">
            <w:pPr>
              <w:ind w:left="127" w:right="127" w:firstLine="141"/>
              <w:jc w:val="both"/>
              <w:rPr>
                <w:rStyle w:val="af7"/>
                <w:rFonts w:eastAsia="Calibri"/>
                <w:b w:val="0"/>
              </w:rPr>
            </w:pPr>
            <w:r w:rsidRPr="00D22215">
              <w:rPr>
                <w:bCs/>
              </w:rPr>
              <w:t>Забезпечення</w:t>
            </w:r>
            <w:r w:rsidRPr="00D22215">
              <w:rPr>
                <w:rStyle w:val="af7"/>
                <w:rFonts w:eastAsia="Calibri"/>
                <w:b w:val="0"/>
              </w:rPr>
              <w:t xml:space="preserve"> виконання договору надається переможцем процедури закупі</w:t>
            </w:r>
            <w:proofErr w:type="gramStart"/>
            <w:r w:rsidRPr="00D22215">
              <w:rPr>
                <w:rStyle w:val="af7"/>
                <w:rFonts w:eastAsia="Calibri"/>
                <w:b w:val="0"/>
              </w:rPr>
              <w:t>вл</w:t>
            </w:r>
            <w:proofErr w:type="gramEnd"/>
            <w:r w:rsidRPr="00D22215">
              <w:rPr>
                <w:rStyle w:val="af7"/>
                <w:rFonts w:eastAsia="Calibri"/>
                <w:b w:val="0"/>
              </w:rPr>
              <w:t>і у вигляді оригіналу гарантії:</w:t>
            </w:r>
          </w:p>
          <w:p w14:paraId="1EC576AD"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гарантії виконання зобов’язань переможця процедури закупі</w:t>
            </w:r>
            <w:proofErr w:type="gramStart"/>
            <w:r w:rsidRPr="00D22215">
              <w:rPr>
                <w:rStyle w:val="af7"/>
                <w:rFonts w:eastAsia="Calibri"/>
                <w:b w:val="0"/>
              </w:rPr>
              <w:t>вл</w:t>
            </w:r>
            <w:proofErr w:type="gramEnd"/>
            <w:r w:rsidRPr="00D22215">
              <w:rPr>
                <w:rStyle w:val="af7"/>
                <w:rFonts w:eastAsia="Calibri"/>
                <w:b w:val="0"/>
              </w:rPr>
              <w:t xml:space="preserve">і по сплаті забезпечення </w:t>
            </w:r>
            <w:r w:rsidRPr="00D22215">
              <w:rPr>
                <w:bCs/>
              </w:rPr>
              <w:t>виконання</w:t>
            </w:r>
            <w:r w:rsidRPr="00D22215">
              <w:rPr>
                <w:rStyle w:val="af7"/>
                <w:rFonts w:eastAsia="Calibri"/>
                <w:b w:val="0"/>
              </w:rPr>
              <w:t xml:space="preserve"> договору, гарантом за якою виступає банківська установа.</w:t>
            </w:r>
          </w:p>
          <w:p w14:paraId="18667E1A"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xml:space="preserve">Реквізити для оформлення гарантії зазначені в Додатку </w:t>
            </w:r>
            <w:r>
              <w:rPr>
                <w:rStyle w:val="af7"/>
                <w:rFonts w:eastAsia="Calibri"/>
                <w:b w:val="0"/>
                <w:lang w:val="uk-UA"/>
              </w:rPr>
              <w:t>6</w:t>
            </w:r>
            <w:r w:rsidRPr="00D22215">
              <w:rPr>
                <w:rStyle w:val="af7"/>
                <w:rFonts w:eastAsia="Calibri"/>
                <w:b w:val="0"/>
              </w:rPr>
              <w:t xml:space="preserve"> до тендерної документації. Забезпечення виконання договору надається учасником-переможцем не </w:t>
            </w:r>
            <w:proofErr w:type="gramStart"/>
            <w:r w:rsidRPr="00D22215">
              <w:rPr>
                <w:rStyle w:val="af7"/>
                <w:rFonts w:eastAsia="Calibri"/>
                <w:b w:val="0"/>
              </w:rPr>
              <w:t>п</w:t>
            </w:r>
            <w:proofErr w:type="gramEnd"/>
            <w:r w:rsidRPr="00D22215">
              <w:rPr>
                <w:rStyle w:val="af7"/>
                <w:rFonts w:eastAsia="Calibri"/>
                <w:b w:val="0"/>
              </w:rPr>
              <w:t xml:space="preserve">ізніше дати укладення договору про закупівлю. Строк дії забезпечення виконання цього договору у вигляді банківської гарантії, </w:t>
            </w:r>
            <w:proofErr w:type="gramStart"/>
            <w:r w:rsidRPr="00D22215">
              <w:rPr>
                <w:rStyle w:val="af7"/>
                <w:rFonts w:eastAsia="Calibri"/>
                <w:b w:val="0"/>
              </w:rPr>
              <w:t>повинен</w:t>
            </w:r>
            <w:proofErr w:type="gramEnd"/>
            <w:r w:rsidRPr="00D22215">
              <w:rPr>
                <w:rStyle w:val="af7"/>
                <w:rFonts w:eastAsia="Calibri"/>
                <w:b w:val="0"/>
              </w:rPr>
              <w:t xml:space="preserve"> бути дійсним з дня укладення договору і обов’язково повинен перевищувати строк дії Договору не менше ніж на 1 (один) календарний місяць.</w:t>
            </w:r>
          </w:p>
          <w:p w14:paraId="2F006837" w14:textId="77777777" w:rsidR="002457A4" w:rsidRPr="00D22215" w:rsidRDefault="002457A4" w:rsidP="002457A4">
            <w:pPr>
              <w:shd w:val="clear" w:color="auto" w:fill="FFFFFF"/>
              <w:tabs>
                <w:tab w:val="left" w:pos="8198"/>
              </w:tabs>
              <w:ind w:left="127" w:right="127" w:firstLine="141"/>
              <w:jc w:val="both"/>
              <w:rPr>
                <w:rStyle w:val="af7"/>
                <w:rFonts w:eastAsia="Calibri"/>
                <w:b w:val="0"/>
              </w:rPr>
            </w:pPr>
            <w:r w:rsidRPr="00D22215">
              <w:rPr>
                <w:rStyle w:val="af7"/>
                <w:rFonts w:eastAsia="Calibri"/>
                <w:b w:val="0"/>
              </w:rPr>
              <w:t xml:space="preserve">Замовник повертає забезпечення виконання договору </w:t>
            </w:r>
            <w:proofErr w:type="gramStart"/>
            <w:r w:rsidRPr="00D22215">
              <w:rPr>
                <w:rStyle w:val="af7"/>
                <w:rFonts w:eastAsia="Calibri"/>
                <w:b w:val="0"/>
              </w:rPr>
              <w:t>про</w:t>
            </w:r>
            <w:proofErr w:type="gramEnd"/>
            <w:r w:rsidRPr="00D22215">
              <w:rPr>
                <w:rStyle w:val="af7"/>
                <w:rFonts w:eastAsia="Calibri"/>
                <w:b w:val="0"/>
              </w:rPr>
              <w:t xml:space="preserve"> </w:t>
            </w:r>
            <w:proofErr w:type="gramStart"/>
            <w:r w:rsidRPr="00D22215">
              <w:rPr>
                <w:rStyle w:val="af7"/>
                <w:rFonts w:eastAsia="Calibri"/>
                <w:b w:val="0"/>
              </w:rPr>
              <w:t>закуп</w:t>
            </w:r>
            <w:proofErr w:type="gramEnd"/>
            <w:r w:rsidRPr="00D22215">
              <w:rPr>
                <w:rStyle w:val="af7"/>
                <w:rFonts w:eastAsia="Calibri"/>
                <w:b w:val="0"/>
              </w:rPr>
              <w:t>івлю відповідно до статті 27 Закону з урахуванням Особливостей.</w:t>
            </w:r>
          </w:p>
          <w:p w14:paraId="3DAAC55F" w14:textId="77777777" w:rsidR="002457A4" w:rsidRPr="00B8786B" w:rsidRDefault="002457A4" w:rsidP="002457A4">
            <w:pPr>
              <w:pStyle w:val="af2"/>
              <w:spacing w:before="150" w:beforeAutospacing="0" w:after="150" w:afterAutospacing="0"/>
              <w:jc w:val="both"/>
            </w:pPr>
            <w:r w:rsidRPr="00B8786B">
              <w:rPr>
                <w:color w:val="000000"/>
              </w:rPr>
              <w:t xml:space="preserve">Умови повернення забезпечення виконання договору </w:t>
            </w:r>
            <w:proofErr w:type="gramStart"/>
            <w:r w:rsidRPr="00B8786B">
              <w:rPr>
                <w:color w:val="000000"/>
              </w:rPr>
              <w:t>про</w:t>
            </w:r>
            <w:proofErr w:type="gramEnd"/>
            <w:r w:rsidRPr="00B8786B">
              <w:rPr>
                <w:color w:val="000000"/>
              </w:rPr>
              <w:t xml:space="preserve"> закупівлю: </w:t>
            </w:r>
          </w:p>
          <w:p w14:paraId="5B629A9D" w14:textId="77777777" w:rsidR="002457A4" w:rsidRPr="00B8786B" w:rsidRDefault="002457A4" w:rsidP="002457A4">
            <w:pPr>
              <w:pStyle w:val="af2"/>
              <w:spacing w:before="150" w:beforeAutospacing="0" w:after="150" w:afterAutospacing="0"/>
              <w:jc w:val="both"/>
            </w:pPr>
            <w:r w:rsidRPr="00B8786B">
              <w:rPr>
                <w:color w:val="000000"/>
              </w:rPr>
              <w:t xml:space="preserve">1) </w:t>
            </w:r>
            <w:proofErr w:type="gramStart"/>
            <w:r w:rsidRPr="00B8786B">
              <w:rPr>
                <w:color w:val="000000"/>
              </w:rPr>
              <w:t>п</w:t>
            </w:r>
            <w:proofErr w:type="gramEnd"/>
            <w:r w:rsidRPr="00B8786B">
              <w:rPr>
                <w:color w:val="000000"/>
              </w:rPr>
              <w:t xml:space="preserve">ісля виконання переможцем процедури закупівлі/спрощеної </w:t>
            </w:r>
            <w:r w:rsidRPr="00B8786B">
              <w:rPr>
                <w:color w:val="000000"/>
              </w:rPr>
              <w:lastRenderedPageBreak/>
              <w:t>закупівлі договору про закупівлю; </w:t>
            </w:r>
          </w:p>
          <w:p w14:paraId="70D24F5A" w14:textId="77777777" w:rsidR="002457A4" w:rsidRPr="00B8786B" w:rsidRDefault="002457A4" w:rsidP="002457A4">
            <w:pPr>
              <w:pStyle w:val="af2"/>
              <w:spacing w:before="150" w:beforeAutospacing="0" w:after="150" w:afterAutospacing="0"/>
              <w:jc w:val="both"/>
            </w:pPr>
            <w:r w:rsidRPr="00B8786B">
              <w:rPr>
                <w:color w:val="000000"/>
              </w:rPr>
              <w:t xml:space="preserve">2) за </w:t>
            </w:r>
            <w:proofErr w:type="gramStart"/>
            <w:r w:rsidRPr="00B8786B">
              <w:rPr>
                <w:color w:val="000000"/>
              </w:rPr>
              <w:t>р</w:t>
            </w:r>
            <w:proofErr w:type="gramEnd"/>
            <w:r w:rsidRPr="00B8786B">
              <w:rPr>
                <w:color w:val="000000"/>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F3B1320" w14:textId="77777777" w:rsidR="002457A4" w:rsidRPr="00B8786B" w:rsidRDefault="002457A4" w:rsidP="002457A4">
            <w:pPr>
              <w:pStyle w:val="af2"/>
              <w:spacing w:before="150" w:beforeAutospacing="0" w:after="150" w:afterAutospacing="0"/>
              <w:jc w:val="both"/>
            </w:pPr>
            <w:r w:rsidRPr="00B8786B">
              <w:rPr>
                <w:color w:val="000000"/>
              </w:rPr>
              <w:t>3) у випадках, передбачених пунктом 21 Особливостей; </w:t>
            </w:r>
          </w:p>
          <w:p w14:paraId="28598DF7" w14:textId="77777777" w:rsidR="002457A4" w:rsidRPr="00B8786B" w:rsidRDefault="002457A4" w:rsidP="002457A4">
            <w:pPr>
              <w:pStyle w:val="af2"/>
              <w:spacing w:before="150" w:beforeAutospacing="0" w:after="150" w:afterAutospacing="0"/>
              <w:jc w:val="both"/>
            </w:pPr>
            <w:r w:rsidRPr="00B8786B">
              <w:rPr>
                <w:color w:val="000000"/>
              </w:rPr>
              <w:t xml:space="preserve">4) згідно з умовами, зазначеними в договорі про закупівлю, але не </w:t>
            </w:r>
            <w:proofErr w:type="gramStart"/>
            <w:r w:rsidRPr="00B8786B">
              <w:rPr>
                <w:color w:val="000000"/>
              </w:rPr>
              <w:t>п</w:t>
            </w:r>
            <w:proofErr w:type="gramEnd"/>
            <w:r w:rsidRPr="00B8786B">
              <w:rPr>
                <w:color w:val="000000"/>
              </w:rPr>
              <w:t>ізніше ніж протягом п’яти банківських днів з дня настання зазначених обставин.</w:t>
            </w:r>
          </w:p>
          <w:p w14:paraId="0EA80052" w14:textId="77777777" w:rsidR="002457A4" w:rsidRPr="00B8786B" w:rsidRDefault="002457A4" w:rsidP="002457A4">
            <w:pPr>
              <w:pStyle w:val="af2"/>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 xml:space="preserve">и встановлені </w:t>
            </w:r>
            <w:proofErr w:type="gramStart"/>
            <w:r>
              <w:t>у</w:t>
            </w:r>
            <w:proofErr w:type="gramEnd"/>
            <w:r>
              <w:t xml:space="preserve"> договорі.</w:t>
            </w:r>
          </w:p>
          <w:p w14:paraId="5C51EA7C" w14:textId="5E20F71F" w:rsidR="00B33F3E" w:rsidRPr="009C077B" w:rsidRDefault="002457A4" w:rsidP="002457A4">
            <w:pPr>
              <w:shd w:val="clear" w:color="auto" w:fill="FFFFFF"/>
              <w:tabs>
                <w:tab w:val="left" w:pos="8198"/>
              </w:tabs>
              <w:ind w:left="127" w:right="127" w:firstLine="141"/>
              <w:jc w:val="both"/>
              <w:rPr>
                <w:rFonts w:ascii="Times New Roman" w:hAnsi="Times New Roman"/>
                <w:lang w:val="uk-UA"/>
              </w:rPr>
            </w:pPr>
            <w:r w:rsidRPr="00B8786B">
              <w:rPr>
                <w:color w:val="000000"/>
              </w:rPr>
              <w:t xml:space="preserve">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w:t>
            </w:r>
            <w:proofErr w:type="gramStart"/>
            <w:r w:rsidRPr="00B8786B">
              <w:rPr>
                <w:color w:val="000000"/>
              </w:rPr>
              <w:t>п</w:t>
            </w:r>
            <w:proofErr w:type="gramEnd"/>
            <w:r w:rsidRPr="00B8786B">
              <w:rPr>
                <w:color w:val="000000"/>
              </w:rPr>
              <w:t>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p w14:paraId="7E32C37B" w14:textId="6B66A9AC" w:rsidR="00B33F3E" w:rsidRPr="009C077B" w:rsidRDefault="00B33F3E" w:rsidP="00817382">
            <w:pPr>
              <w:ind w:left="127" w:right="127" w:firstLine="141"/>
              <w:jc w:val="both"/>
              <w:rPr>
                <w:lang w:val="uk-UA"/>
              </w:rPr>
            </w:pP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7672582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1BABADE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3A3395"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1F424A" w14:textId="77777777" w:rsidR="00B33F3E" w:rsidRDefault="00B33F3E" w:rsidP="00155140">
      <w:pPr>
        <w:widowControl/>
        <w:autoSpaceDE/>
        <w:autoSpaceDN/>
        <w:contextualSpacing/>
        <w:rPr>
          <w:rFonts w:ascii="Times New Roman" w:hAnsi="Times New Roman" w:cs="Times New Roman"/>
          <w:sz w:val="28"/>
          <w:szCs w:val="28"/>
          <w:lang w:val="uk-UA" w:eastAsia="uk-UA"/>
        </w:rPr>
      </w:pPr>
    </w:p>
    <w:p w14:paraId="604D1788" w14:textId="77777777" w:rsidR="00155140" w:rsidRDefault="00155140" w:rsidP="00155140">
      <w:pPr>
        <w:widowControl/>
        <w:autoSpaceDE/>
        <w:autoSpaceDN/>
        <w:contextualSpacing/>
        <w:rPr>
          <w:rFonts w:ascii="Times New Roman" w:hAnsi="Times New Roman" w:cs="Times New Roman"/>
          <w:sz w:val="28"/>
          <w:szCs w:val="28"/>
          <w:lang w:val="uk-UA" w:eastAsia="uk-UA"/>
        </w:rPr>
      </w:pPr>
    </w:p>
    <w:p w14:paraId="5E3EC854"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36C63A1F" w14:textId="77777777" w:rsidR="00CE7D83" w:rsidRDefault="00CE7D83" w:rsidP="00475E92">
      <w:pPr>
        <w:widowControl/>
        <w:autoSpaceDE/>
        <w:autoSpaceDN/>
        <w:contextualSpacing/>
        <w:jc w:val="right"/>
        <w:rPr>
          <w:rFonts w:ascii="Times New Roman" w:hAnsi="Times New Roman" w:cs="Times New Roman"/>
          <w:sz w:val="28"/>
          <w:szCs w:val="28"/>
          <w:lang w:val="uk-UA" w:eastAsia="uk-UA"/>
        </w:rPr>
      </w:pPr>
    </w:p>
    <w:p w14:paraId="299828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9E40114"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6ED30D34"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31AE878A"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0F929885"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05F1E290"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2B8D634A"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6A26D177"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6E3EBC49"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p>
    <w:p w14:paraId="77CA3899" w14:textId="77777777" w:rsidR="00643109" w:rsidRDefault="00643109" w:rsidP="00475E92">
      <w:pPr>
        <w:widowControl/>
        <w:autoSpaceDE/>
        <w:autoSpaceDN/>
        <w:contextualSpacing/>
        <w:jc w:val="right"/>
        <w:rPr>
          <w:rFonts w:ascii="Times New Roman" w:hAnsi="Times New Roman" w:cs="Times New Roman"/>
          <w:sz w:val="28"/>
          <w:szCs w:val="28"/>
          <w:lang w:val="uk-UA" w:eastAsia="uk-UA"/>
        </w:rPr>
      </w:pPr>
      <w:bookmarkStart w:id="19" w:name="_GoBack"/>
      <w:bookmarkEnd w:id="19"/>
    </w:p>
    <w:p w14:paraId="2B0A21E0"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0D5022DE" w:rsidR="00342762" w:rsidRPr="0051075D" w:rsidRDefault="0051075D" w:rsidP="00342762">
      <w:pPr>
        <w:widowControl/>
        <w:autoSpaceDE/>
        <w:autoSpaceDN/>
        <w:contextualSpacing/>
        <w:jc w:val="both"/>
        <w:rPr>
          <w:rFonts w:ascii="Times New Roman" w:hAnsi="Times New Roman" w:cs="Times New Roman"/>
          <w:szCs w:val="28"/>
          <w:lang w:val="uk-UA" w:eastAsia="uk-UA"/>
        </w:rPr>
      </w:pPr>
      <w:r w:rsidRPr="00876912">
        <w:rPr>
          <w:b/>
        </w:rPr>
        <w:t>ДК 021:2015</w:t>
      </w:r>
      <w:r>
        <w:rPr>
          <w:b/>
        </w:rPr>
        <w:t xml:space="preserve"> – 14620000 – 3 – Сплави (Кутик)</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B7494" w:rsidRPr="009C077B" w14:paraId="69E47F63" w14:textId="77777777" w:rsidTr="00250780">
        <w:tc>
          <w:tcPr>
            <w:tcW w:w="628" w:type="dxa"/>
          </w:tcPr>
          <w:p w14:paraId="4201130D" w14:textId="088CA503" w:rsidR="008B7494" w:rsidRPr="009C077B"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vAlign w:val="center"/>
          </w:tcPr>
          <w:p w14:paraId="3E44C0D3" w14:textId="503AE0D8" w:rsidR="008B7494" w:rsidRPr="002C4073" w:rsidRDefault="0051075D" w:rsidP="00155140">
            <w:pPr>
              <w:ind w:right="142"/>
              <w:jc w:val="center"/>
              <w:rPr>
                <w:rFonts w:ascii="Times New Roman" w:hAnsi="Times New Roman" w:cs="Times New Roman"/>
                <w:sz w:val="20"/>
                <w:szCs w:val="22"/>
                <w:lang w:val="uk-UA"/>
              </w:rPr>
            </w:pPr>
            <w:r>
              <w:rPr>
                <w:color w:val="000000"/>
                <w:lang w:val="uk-UA"/>
              </w:rPr>
              <w:t xml:space="preserve">Кутик </w:t>
            </w:r>
          </w:p>
        </w:tc>
        <w:tc>
          <w:tcPr>
            <w:tcW w:w="2835" w:type="dxa"/>
            <w:vAlign w:val="center"/>
          </w:tcPr>
          <w:p w14:paraId="6EA63617" w14:textId="70A28A15" w:rsidR="008B7494" w:rsidRPr="002C4073" w:rsidRDefault="0051075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Кутик 100х100х7 ст.09Г2С (12 метрів)</w:t>
            </w:r>
          </w:p>
        </w:tc>
        <w:tc>
          <w:tcPr>
            <w:tcW w:w="1417" w:type="dxa"/>
            <w:vAlign w:val="center"/>
          </w:tcPr>
          <w:p w14:paraId="79760F95" w14:textId="376DD335" w:rsidR="008B7494" w:rsidRPr="002C4073" w:rsidRDefault="002C4073" w:rsidP="00155140">
            <w:pPr>
              <w:ind w:right="142"/>
              <w:jc w:val="center"/>
              <w:rPr>
                <w:rFonts w:ascii="Times New Roman" w:hAnsi="Times New Roman" w:cs="Times New Roman"/>
                <w:sz w:val="20"/>
                <w:szCs w:val="22"/>
                <w:lang w:val="uk-UA"/>
              </w:rPr>
            </w:pPr>
            <w:r>
              <w:rPr>
                <w:color w:val="000000"/>
                <w:lang w:val="uk-UA"/>
              </w:rPr>
              <w:t>т</w:t>
            </w:r>
          </w:p>
        </w:tc>
        <w:tc>
          <w:tcPr>
            <w:tcW w:w="1565" w:type="dxa"/>
            <w:vAlign w:val="center"/>
          </w:tcPr>
          <w:p w14:paraId="4140B174" w14:textId="7C1F1AF1" w:rsidR="008B7494" w:rsidRPr="002C4073" w:rsidRDefault="0051075D" w:rsidP="00155140">
            <w:pPr>
              <w:ind w:right="142"/>
              <w:jc w:val="center"/>
              <w:rPr>
                <w:rFonts w:ascii="Times New Roman" w:hAnsi="Times New Roman" w:cs="Times New Roman"/>
                <w:sz w:val="20"/>
                <w:szCs w:val="22"/>
                <w:lang w:val="uk-UA"/>
              </w:rPr>
            </w:pPr>
            <w:r>
              <w:rPr>
                <w:color w:val="000000"/>
                <w:lang w:val="uk-UA"/>
              </w:rPr>
              <w:t>16</w:t>
            </w:r>
          </w:p>
        </w:tc>
      </w:tr>
      <w:tr w:rsidR="008B7494" w:rsidRPr="009C077B" w14:paraId="5CD4B99C" w14:textId="77777777" w:rsidTr="00250780">
        <w:tc>
          <w:tcPr>
            <w:tcW w:w="628" w:type="dxa"/>
          </w:tcPr>
          <w:p w14:paraId="3AC8573B" w14:textId="14F2B6A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3494" w:type="dxa"/>
            <w:vAlign w:val="center"/>
          </w:tcPr>
          <w:p w14:paraId="32C748FA" w14:textId="123D247E" w:rsidR="008B7494" w:rsidRPr="00CE7D83" w:rsidRDefault="0051075D" w:rsidP="00155140">
            <w:pPr>
              <w:ind w:right="142"/>
              <w:jc w:val="center"/>
              <w:rPr>
                <w:rFonts w:ascii="Times New Roman" w:hAnsi="Times New Roman" w:cs="Times New Roman"/>
                <w:sz w:val="20"/>
                <w:szCs w:val="22"/>
                <w:lang w:val="uk-UA"/>
              </w:rPr>
            </w:pPr>
            <w:r>
              <w:rPr>
                <w:color w:val="000000"/>
                <w:lang w:val="uk-UA"/>
              </w:rPr>
              <w:t>Кутик</w:t>
            </w:r>
          </w:p>
        </w:tc>
        <w:tc>
          <w:tcPr>
            <w:tcW w:w="2835" w:type="dxa"/>
            <w:vAlign w:val="center"/>
          </w:tcPr>
          <w:p w14:paraId="224770CB" w14:textId="39D21618" w:rsidR="008B7494" w:rsidRPr="009C077B" w:rsidRDefault="0051075D"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Кутик 100х100х10 ст.09Г2</w:t>
            </w:r>
            <w:r>
              <w:rPr>
                <w:rFonts w:ascii="Times New Roman" w:hAnsi="Times New Roman" w:cs="Times New Roman"/>
                <w:sz w:val="20"/>
                <w:szCs w:val="22"/>
                <w:lang w:val="uk-UA"/>
              </w:rPr>
              <w:t>С (12 метрів)</w:t>
            </w:r>
          </w:p>
        </w:tc>
        <w:tc>
          <w:tcPr>
            <w:tcW w:w="1417" w:type="dxa"/>
            <w:vAlign w:val="center"/>
          </w:tcPr>
          <w:p w14:paraId="29BEEAA6" w14:textId="65B7EE30" w:rsidR="008B7494" w:rsidRPr="002C4073" w:rsidRDefault="002C4073" w:rsidP="00155140">
            <w:pPr>
              <w:ind w:right="142"/>
              <w:jc w:val="center"/>
              <w:rPr>
                <w:rFonts w:ascii="Times New Roman" w:hAnsi="Times New Roman" w:cs="Times New Roman"/>
                <w:sz w:val="20"/>
                <w:szCs w:val="22"/>
                <w:lang w:val="uk-UA"/>
              </w:rPr>
            </w:pPr>
            <w:r>
              <w:rPr>
                <w:color w:val="000000"/>
                <w:lang w:val="uk-UA"/>
              </w:rPr>
              <w:t>т</w:t>
            </w:r>
          </w:p>
        </w:tc>
        <w:tc>
          <w:tcPr>
            <w:tcW w:w="1565" w:type="dxa"/>
            <w:vAlign w:val="center"/>
          </w:tcPr>
          <w:p w14:paraId="1C3CA00C" w14:textId="5A937935" w:rsidR="008B7494" w:rsidRPr="002C4073" w:rsidRDefault="0051075D" w:rsidP="00155140">
            <w:pPr>
              <w:ind w:right="142"/>
              <w:jc w:val="center"/>
              <w:rPr>
                <w:rFonts w:ascii="Times New Roman" w:hAnsi="Times New Roman" w:cs="Times New Roman"/>
                <w:sz w:val="20"/>
                <w:szCs w:val="22"/>
                <w:lang w:val="uk-UA"/>
              </w:rPr>
            </w:pPr>
            <w:r>
              <w:rPr>
                <w:color w:val="000000"/>
                <w:lang w:val="uk-UA"/>
              </w:rPr>
              <w:t>10</w:t>
            </w:r>
          </w:p>
        </w:tc>
      </w:tr>
    </w:tbl>
    <w:p w14:paraId="38B1C11F" w14:textId="77777777" w:rsidR="0051075D" w:rsidRDefault="0051075D" w:rsidP="0051075D">
      <w:pPr>
        <w:jc w:val="center"/>
        <w:rPr>
          <w:rFonts w:ascii="Times New Roman" w:hAnsi="Times New Roman" w:cs="Times New Roman"/>
          <w:sz w:val="28"/>
          <w:szCs w:val="28"/>
          <w:lang w:val="uk-UA"/>
        </w:rPr>
      </w:pPr>
    </w:p>
    <w:p w14:paraId="6435BE77" w14:textId="112AF97C" w:rsidR="0051075D" w:rsidRDefault="0051075D" w:rsidP="0051075D">
      <w:pPr>
        <w:jc w:val="center"/>
        <w:rPr>
          <w:rFonts w:ascii="Times New Roman" w:hAnsi="Times New Roman" w:cs="Times New Roman"/>
          <w:sz w:val="28"/>
          <w:szCs w:val="28"/>
          <w:lang w:val="uk-UA"/>
        </w:rPr>
      </w:pPr>
      <w:r>
        <w:rPr>
          <w:rFonts w:ascii="Times New Roman" w:hAnsi="Times New Roman" w:cs="Times New Roman"/>
          <w:sz w:val="28"/>
          <w:szCs w:val="28"/>
          <w:lang w:val="uk-UA"/>
        </w:rPr>
        <w:t>кутик сталевий гарячекатаний рівнополочний</w:t>
      </w:r>
    </w:p>
    <w:p w14:paraId="7CD8C879" w14:textId="77777777" w:rsidR="0051075D" w:rsidRDefault="0051075D" w:rsidP="0051075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100х100х7, 100х100х10 ст. 09Г2С або еквівалент</w:t>
      </w:r>
    </w:p>
    <w:p w14:paraId="164A8926" w14:textId="77777777" w:rsidR="0051075D" w:rsidRDefault="0051075D" w:rsidP="0051075D">
      <w:pPr>
        <w:jc w:val="center"/>
        <w:rPr>
          <w:rFonts w:ascii="Times New Roman" w:hAnsi="Times New Roman" w:cs="Times New Roman"/>
          <w:sz w:val="28"/>
          <w:szCs w:val="28"/>
          <w:lang w:val="uk-UA"/>
        </w:rPr>
      </w:pPr>
    </w:p>
    <w:p w14:paraId="238FC3B8" w14:textId="77777777" w:rsidR="0051075D" w:rsidRDefault="0051075D" w:rsidP="0051075D">
      <w:pPr>
        <w:adjustRightInd w:val="0"/>
        <w:ind w:left="-142"/>
        <w:rPr>
          <w:rFonts w:ascii="Times New Roman" w:hAnsi="Times New Roman" w:cs="Times New Roman"/>
          <w:snapToGrid w:val="0"/>
          <w:sz w:val="28"/>
          <w:szCs w:val="28"/>
          <w:lang w:val="uk-UA"/>
        </w:rPr>
      </w:pPr>
      <w:r w:rsidRPr="00F80514">
        <w:rPr>
          <w:rFonts w:ascii="Times New Roman" w:hAnsi="Times New Roman" w:cs="Times New Roman"/>
          <w:b/>
          <w:bCs/>
          <w:sz w:val="28"/>
          <w:szCs w:val="28"/>
          <w:lang w:val="uk-UA"/>
        </w:rPr>
        <w:t xml:space="preserve">Технічні вимоги: </w:t>
      </w:r>
      <w:r w:rsidRPr="00F80514">
        <w:rPr>
          <w:rFonts w:ascii="Times New Roman" w:hAnsi="Times New Roman" w:cs="Times New Roman"/>
          <w:snapToGrid w:val="0"/>
          <w:sz w:val="28"/>
          <w:szCs w:val="28"/>
        </w:rPr>
        <w:t xml:space="preserve">ДСТУ </w:t>
      </w:r>
      <w:r>
        <w:rPr>
          <w:rFonts w:ascii="Times New Roman" w:hAnsi="Times New Roman" w:cs="Times New Roman"/>
          <w:snapToGrid w:val="0"/>
          <w:sz w:val="28"/>
          <w:szCs w:val="28"/>
          <w:lang w:val="uk-UA"/>
        </w:rPr>
        <w:t>2251-2018</w:t>
      </w:r>
      <w:r w:rsidRPr="00F80514">
        <w:rPr>
          <w:rFonts w:ascii="Times New Roman" w:hAnsi="Times New Roman" w:cs="Times New Roman"/>
          <w:snapToGrid w:val="0"/>
          <w:sz w:val="28"/>
          <w:szCs w:val="28"/>
          <w:lang w:val="uk-UA"/>
        </w:rPr>
        <w:t xml:space="preserve"> та</w:t>
      </w:r>
      <w:r w:rsidRPr="00F80514">
        <w:rPr>
          <w:rFonts w:ascii="Times New Roman" w:hAnsi="Times New Roman" w:cs="Times New Roman"/>
          <w:snapToGrid w:val="0"/>
          <w:sz w:val="28"/>
          <w:szCs w:val="28"/>
        </w:rPr>
        <w:t xml:space="preserve"> ДСТУ 8541:2015</w:t>
      </w:r>
      <w:r>
        <w:rPr>
          <w:rFonts w:ascii="Times New Roman" w:hAnsi="Times New Roman" w:cs="Times New Roman"/>
          <w:snapToGrid w:val="0"/>
          <w:sz w:val="28"/>
          <w:szCs w:val="28"/>
          <w:lang w:val="uk-UA"/>
        </w:rPr>
        <w:t xml:space="preserve">. </w:t>
      </w:r>
      <w:r w:rsidRPr="002F33B5">
        <w:rPr>
          <w:rFonts w:ascii="Times New Roman" w:hAnsi="Times New Roman" w:cs="Times New Roman"/>
          <w:bCs/>
          <w:sz w:val="28"/>
          <w:szCs w:val="28"/>
          <w:lang w:val="uk-UA"/>
        </w:rPr>
        <w:t xml:space="preserve">Конструкція і розміри </w:t>
      </w:r>
      <w:r>
        <w:rPr>
          <w:rFonts w:ascii="Times New Roman" w:hAnsi="Times New Roman" w:cs="Times New Roman"/>
          <w:bCs/>
          <w:sz w:val="28"/>
          <w:szCs w:val="28"/>
          <w:lang w:val="uk-UA"/>
        </w:rPr>
        <w:t>шплінта</w:t>
      </w:r>
      <w:r w:rsidRPr="002F33B5">
        <w:rPr>
          <w:rFonts w:ascii="Times New Roman" w:hAnsi="Times New Roman" w:cs="Times New Roman"/>
          <w:bCs/>
          <w:sz w:val="28"/>
          <w:szCs w:val="28"/>
          <w:lang w:val="uk-UA"/>
        </w:rPr>
        <w:t xml:space="preserve"> повинні відповідати зазначеним на кресленні та</w:t>
      </w:r>
      <w:r>
        <w:rPr>
          <w:rFonts w:ascii="Times New Roman" w:hAnsi="Times New Roman" w:cs="Times New Roman"/>
          <w:bCs/>
          <w:sz w:val="28"/>
          <w:szCs w:val="28"/>
          <w:lang w:val="uk-UA"/>
        </w:rPr>
        <w:t xml:space="preserve"> </w:t>
      </w:r>
      <w:r w:rsidRPr="002F33B5">
        <w:rPr>
          <w:rFonts w:ascii="Times New Roman" w:hAnsi="Times New Roman" w:cs="Times New Roman"/>
          <w:bCs/>
          <w:sz w:val="28"/>
          <w:szCs w:val="28"/>
          <w:lang w:val="uk-UA"/>
        </w:rPr>
        <w:t>у таблиці</w:t>
      </w:r>
    </w:p>
    <w:p w14:paraId="5D5423C3" w14:textId="77777777" w:rsidR="0051075D" w:rsidRDefault="0051075D" w:rsidP="0051075D">
      <w:pPr>
        <w:adjustRightInd w:val="0"/>
        <w:ind w:left="-142"/>
        <w:rPr>
          <w:rFonts w:ascii="Times New Roman" w:hAnsi="Times New Roman" w:cs="Times New Roman"/>
          <w:snapToGrid w:val="0"/>
          <w:sz w:val="28"/>
          <w:szCs w:val="28"/>
          <w:lang w:val="uk-UA"/>
        </w:rPr>
      </w:pPr>
    </w:p>
    <w:p w14:paraId="7FECD956" w14:textId="77777777" w:rsidR="0051075D" w:rsidRDefault="0051075D" w:rsidP="0051075D">
      <w:pPr>
        <w:adjustRightInd w:val="0"/>
        <w:ind w:left="-142"/>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object w:dxaOrig="7398" w:dyaOrig="8044" w14:anchorId="2E6B4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05pt;height:253.55pt" o:ole="">
            <v:imagedata r:id="rId17" o:title=""/>
          </v:shape>
          <o:OLEObject Type="Embed" ProgID="KOMPAS.CDW" ShapeID="_x0000_i1025" DrawAspect="Content" ObjectID="_1756119384" r:id="rId18"/>
        </w:object>
      </w:r>
    </w:p>
    <w:p w14:paraId="3C5AAEDB" w14:textId="77777777" w:rsidR="0051075D" w:rsidRDefault="0051075D" w:rsidP="0051075D">
      <w:pPr>
        <w:adjustRightInd w:val="0"/>
        <w:ind w:left="-142"/>
        <w:rPr>
          <w:rFonts w:ascii="Times New Roman" w:hAnsi="Times New Roman" w:cs="Times New Roman"/>
          <w:snapToGrid w:val="0"/>
          <w:sz w:val="28"/>
          <w:szCs w:val="28"/>
          <w:lang w:val="uk-UA"/>
        </w:rPr>
      </w:pPr>
    </w:p>
    <w:p w14:paraId="7DF2CFB6" w14:textId="77777777" w:rsidR="0051075D" w:rsidRDefault="0051075D" w:rsidP="0051075D">
      <w:pPr>
        <w:adjustRightInd w:val="0"/>
        <w:ind w:left="-142"/>
        <w:rPr>
          <w:rFonts w:ascii="Times New Roman" w:hAnsi="Times New Roman" w:cs="Times New Roman"/>
          <w:snapToGrid w:val="0"/>
          <w:sz w:val="28"/>
          <w:szCs w:val="28"/>
          <w:lang w:val="uk-UA"/>
        </w:rPr>
      </w:pPr>
    </w:p>
    <w:tbl>
      <w:tblPr>
        <w:tblStyle w:val="af6"/>
        <w:tblW w:w="10029" w:type="dxa"/>
        <w:tblLayout w:type="fixed"/>
        <w:tblLook w:val="04A0" w:firstRow="1" w:lastRow="0" w:firstColumn="1" w:lastColumn="0" w:noHBand="0" w:noVBand="1"/>
      </w:tblPr>
      <w:tblGrid>
        <w:gridCol w:w="1382"/>
        <w:gridCol w:w="1276"/>
        <w:gridCol w:w="850"/>
        <w:gridCol w:w="993"/>
        <w:gridCol w:w="1134"/>
        <w:gridCol w:w="2409"/>
        <w:gridCol w:w="1985"/>
      </w:tblGrid>
      <w:tr w:rsidR="0051075D" w:rsidRPr="00860AE3" w14:paraId="48F43D98" w14:textId="77777777" w:rsidTr="0051075D">
        <w:tc>
          <w:tcPr>
            <w:tcW w:w="1382" w:type="dxa"/>
            <w:vAlign w:val="center"/>
          </w:tcPr>
          <w:p w14:paraId="6717763F" w14:textId="77777777" w:rsidR="0051075D" w:rsidRPr="00860AE3" w:rsidRDefault="0051075D" w:rsidP="002A4B89">
            <w:pPr>
              <w:adjustRightInd w:val="0"/>
              <w:jc w:val="center"/>
              <w:rPr>
                <w:rFonts w:ascii="Times New Roman" w:hAnsi="Times New Roman" w:cs="Times New Roman"/>
                <w:b/>
                <w:snapToGrid w:val="0"/>
                <w:color w:val="000000"/>
                <w:sz w:val="28"/>
                <w:szCs w:val="28"/>
                <w:vertAlign w:val="subscript"/>
                <w:lang w:val="uk-UA"/>
              </w:rPr>
            </w:pPr>
            <w:r>
              <w:rPr>
                <w:rFonts w:ascii="Times New Roman" w:hAnsi="Times New Roman" w:cs="Times New Roman"/>
                <w:b/>
                <w:snapToGrid w:val="0"/>
                <w:color w:val="000000"/>
                <w:lang w:val="uk-UA"/>
              </w:rPr>
              <w:t>Номер кутника</w:t>
            </w:r>
          </w:p>
        </w:tc>
        <w:tc>
          <w:tcPr>
            <w:tcW w:w="1276" w:type="dxa"/>
            <w:vAlign w:val="center"/>
          </w:tcPr>
          <w:p w14:paraId="0A2035EB" w14:textId="77777777" w:rsidR="0051075D" w:rsidRPr="00A033FF" w:rsidRDefault="0051075D" w:rsidP="002A4B89">
            <w:pPr>
              <w:adjustRightInd w:val="0"/>
              <w:jc w:val="center"/>
              <w:rPr>
                <w:rFonts w:ascii="Times New Roman" w:hAnsi="Times New Roman" w:cs="Times New Roman"/>
                <w:b/>
                <w:snapToGrid w:val="0"/>
                <w:color w:val="000000"/>
                <w:sz w:val="28"/>
                <w:szCs w:val="28"/>
                <w:lang w:val="uk-UA"/>
              </w:rPr>
            </w:pPr>
            <w:r w:rsidRPr="00A033FF">
              <w:rPr>
                <w:rFonts w:ascii="Times New Roman" w:hAnsi="Times New Roman" w:cs="Times New Roman"/>
                <w:b/>
                <w:snapToGrid w:val="0"/>
                <w:color w:val="000000"/>
                <w:sz w:val="28"/>
                <w:szCs w:val="28"/>
                <w:lang w:val="en-US"/>
              </w:rPr>
              <w:t>b</w:t>
            </w:r>
            <w:r w:rsidRPr="00A033FF">
              <w:rPr>
                <w:rFonts w:ascii="Times New Roman" w:hAnsi="Times New Roman" w:cs="Times New Roman"/>
                <w:b/>
                <w:snapToGrid w:val="0"/>
                <w:color w:val="000000"/>
                <w:sz w:val="28"/>
                <w:szCs w:val="28"/>
                <w:lang w:val="uk-UA"/>
              </w:rPr>
              <w:t>, мм</w:t>
            </w:r>
            <w:r w:rsidRPr="00A033FF">
              <w:rPr>
                <w:rFonts w:ascii="Times New Roman" w:hAnsi="Times New Roman" w:cs="Times New Roman"/>
                <w:b/>
                <w:snapToGrid w:val="0"/>
                <w:color w:val="000000"/>
                <w:sz w:val="28"/>
                <w:szCs w:val="28"/>
                <w:lang w:val="en-US"/>
              </w:rPr>
              <w:t xml:space="preserve"> </w:t>
            </w:r>
          </w:p>
        </w:tc>
        <w:tc>
          <w:tcPr>
            <w:tcW w:w="850" w:type="dxa"/>
            <w:vAlign w:val="center"/>
          </w:tcPr>
          <w:p w14:paraId="10C1227C" w14:textId="77777777" w:rsidR="0051075D" w:rsidRPr="00A033FF" w:rsidRDefault="0051075D" w:rsidP="002A4B89">
            <w:pPr>
              <w:adjustRightInd w:val="0"/>
              <w:jc w:val="center"/>
              <w:rPr>
                <w:rFonts w:ascii="Times New Roman" w:hAnsi="Times New Roman" w:cs="Times New Roman"/>
                <w:b/>
                <w:snapToGrid w:val="0"/>
                <w:color w:val="000000"/>
                <w:sz w:val="28"/>
                <w:szCs w:val="28"/>
                <w:lang w:val="uk-UA"/>
              </w:rPr>
            </w:pPr>
            <w:r w:rsidRPr="00A033FF">
              <w:rPr>
                <w:rFonts w:ascii="Times New Roman" w:hAnsi="Times New Roman" w:cs="Times New Roman"/>
                <w:b/>
                <w:snapToGrid w:val="0"/>
                <w:color w:val="000000"/>
                <w:sz w:val="28"/>
                <w:szCs w:val="28"/>
                <w:lang w:val="en-US"/>
              </w:rPr>
              <w:t>t</w:t>
            </w:r>
            <w:r w:rsidRPr="00A033FF">
              <w:rPr>
                <w:rFonts w:ascii="Times New Roman" w:hAnsi="Times New Roman" w:cs="Times New Roman"/>
                <w:b/>
                <w:snapToGrid w:val="0"/>
                <w:color w:val="000000"/>
                <w:sz w:val="28"/>
                <w:szCs w:val="28"/>
                <w:lang w:val="uk-UA"/>
              </w:rPr>
              <w:t>, мм</w:t>
            </w:r>
            <w:r w:rsidRPr="00A033FF">
              <w:rPr>
                <w:rFonts w:ascii="Times New Roman" w:hAnsi="Times New Roman" w:cs="Times New Roman"/>
                <w:b/>
                <w:snapToGrid w:val="0"/>
                <w:color w:val="000000"/>
                <w:sz w:val="28"/>
                <w:szCs w:val="28"/>
                <w:lang w:val="en-US"/>
              </w:rPr>
              <w:t xml:space="preserve"> </w:t>
            </w:r>
          </w:p>
        </w:tc>
        <w:tc>
          <w:tcPr>
            <w:tcW w:w="993" w:type="dxa"/>
            <w:vAlign w:val="center"/>
          </w:tcPr>
          <w:p w14:paraId="5C54A5AB" w14:textId="77777777" w:rsidR="0051075D" w:rsidRPr="00AB3500" w:rsidRDefault="0051075D" w:rsidP="002A4B89">
            <w:pPr>
              <w:adjustRightInd w:val="0"/>
              <w:jc w:val="center"/>
              <w:rPr>
                <w:rFonts w:ascii="Times New Roman" w:hAnsi="Times New Roman" w:cs="Times New Roman"/>
                <w:b/>
                <w:snapToGrid w:val="0"/>
                <w:color w:val="000000"/>
                <w:sz w:val="28"/>
                <w:szCs w:val="28"/>
                <w:lang w:val="uk-UA"/>
              </w:rPr>
            </w:pPr>
            <w:r w:rsidRPr="00AB3500">
              <w:rPr>
                <w:rFonts w:ascii="Times New Roman" w:hAnsi="Times New Roman" w:cs="Times New Roman"/>
                <w:b/>
                <w:snapToGrid w:val="0"/>
                <w:color w:val="000000"/>
                <w:sz w:val="28"/>
                <w:szCs w:val="28"/>
                <w:lang w:val="en-US"/>
              </w:rPr>
              <w:t>R</w:t>
            </w:r>
            <w:r w:rsidRPr="00AB3500">
              <w:rPr>
                <w:rFonts w:ascii="Times New Roman" w:hAnsi="Times New Roman" w:cs="Times New Roman"/>
                <w:b/>
                <w:snapToGrid w:val="0"/>
                <w:color w:val="000000"/>
                <w:sz w:val="28"/>
                <w:szCs w:val="28"/>
                <w:lang w:val="uk-UA"/>
              </w:rPr>
              <w:t>, мм</w:t>
            </w:r>
          </w:p>
        </w:tc>
        <w:tc>
          <w:tcPr>
            <w:tcW w:w="1134" w:type="dxa"/>
            <w:vAlign w:val="center"/>
          </w:tcPr>
          <w:p w14:paraId="36647AEC" w14:textId="77777777" w:rsidR="0051075D" w:rsidRPr="00AB3500" w:rsidRDefault="0051075D" w:rsidP="002A4B89">
            <w:pPr>
              <w:adjustRightInd w:val="0"/>
              <w:jc w:val="center"/>
              <w:rPr>
                <w:rFonts w:ascii="Times New Roman" w:hAnsi="Times New Roman" w:cs="Times New Roman"/>
                <w:b/>
                <w:snapToGrid w:val="0"/>
                <w:color w:val="000000"/>
                <w:sz w:val="28"/>
                <w:szCs w:val="28"/>
                <w:lang w:val="uk-UA"/>
              </w:rPr>
            </w:pPr>
            <w:r w:rsidRPr="00A033FF">
              <w:rPr>
                <w:rFonts w:ascii="Times New Roman" w:hAnsi="Times New Roman" w:cs="Times New Roman"/>
                <w:b/>
                <w:snapToGrid w:val="0"/>
                <w:color w:val="000000"/>
                <w:sz w:val="28"/>
                <w:szCs w:val="28"/>
                <w:lang w:val="en-US"/>
              </w:rPr>
              <w:t>r</w:t>
            </w:r>
            <w:r w:rsidRPr="00A033FF">
              <w:rPr>
                <w:rFonts w:ascii="Times New Roman" w:hAnsi="Times New Roman" w:cs="Times New Roman"/>
                <w:b/>
                <w:snapToGrid w:val="0"/>
                <w:color w:val="000000"/>
                <w:sz w:val="28"/>
                <w:szCs w:val="28"/>
                <w:lang w:val="uk-UA"/>
              </w:rPr>
              <w:t>,</w:t>
            </w:r>
            <w:r w:rsidRPr="00AB3500">
              <w:rPr>
                <w:rFonts w:ascii="Times New Roman" w:hAnsi="Times New Roman" w:cs="Times New Roman"/>
                <w:b/>
                <w:snapToGrid w:val="0"/>
                <w:color w:val="000000"/>
                <w:sz w:val="28"/>
                <w:szCs w:val="28"/>
                <w:lang w:val="uk-UA"/>
              </w:rPr>
              <w:t xml:space="preserve"> мм</w:t>
            </w:r>
          </w:p>
        </w:tc>
        <w:tc>
          <w:tcPr>
            <w:tcW w:w="2409" w:type="dxa"/>
            <w:vAlign w:val="center"/>
          </w:tcPr>
          <w:p w14:paraId="47CC757E" w14:textId="77777777" w:rsidR="0051075D" w:rsidRPr="00A033FF" w:rsidRDefault="0051075D" w:rsidP="002A4B89">
            <w:pPr>
              <w:adjustRightInd w:val="0"/>
              <w:jc w:val="center"/>
              <w:rPr>
                <w:rFonts w:ascii="Times New Roman" w:hAnsi="Times New Roman" w:cs="Times New Roman"/>
                <w:b/>
                <w:snapToGrid w:val="0"/>
                <w:color w:val="000000"/>
                <w:sz w:val="28"/>
                <w:szCs w:val="28"/>
                <w:vertAlign w:val="superscript"/>
                <w:lang w:val="uk-UA"/>
              </w:rPr>
            </w:pPr>
            <w:r>
              <w:rPr>
                <w:rFonts w:ascii="Times New Roman" w:hAnsi="Times New Roman" w:cs="Times New Roman"/>
                <w:b/>
                <w:snapToGrid w:val="0"/>
                <w:color w:val="000000"/>
                <w:sz w:val="28"/>
                <w:szCs w:val="28"/>
                <w:lang w:val="uk-UA"/>
              </w:rPr>
              <w:t xml:space="preserve">Площа січення, </w:t>
            </w:r>
            <w:r>
              <w:rPr>
                <w:rFonts w:ascii="Times New Roman" w:hAnsi="Times New Roman" w:cs="Times New Roman"/>
                <w:b/>
                <w:snapToGrid w:val="0"/>
                <w:color w:val="000000"/>
                <w:sz w:val="28"/>
                <w:szCs w:val="28"/>
                <w:lang w:val="uk-UA"/>
              </w:rPr>
              <w:lastRenderedPageBreak/>
              <w:t>см</w:t>
            </w:r>
            <w:r>
              <w:rPr>
                <w:rFonts w:ascii="Times New Roman" w:hAnsi="Times New Roman" w:cs="Times New Roman"/>
                <w:b/>
                <w:snapToGrid w:val="0"/>
                <w:color w:val="000000"/>
                <w:sz w:val="28"/>
                <w:szCs w:val="28"/>
                <w:vertAlign w:val="superscript"/>
                <w:lang w:val="uk-UA"/>
              </w:rPr>
              <w:t>2</w:t>
            </w:r>
          </w:p>
        </w:tc>
        <w:tc>
          <w:tcPr>
            <w:tcW w:w="1985" w:type="dxa"/>
            <w:vAlign w:val="center"/>
          </w:tcPr>
          <w:p w14:paraId="09C440BD" w14:textId="77777777" w:rsidR="0051075D" w:rsidRPr="0067298F" w:rsidRDefault="0051075D" w:rsidP="002A4B89">
            <w:pPr>
              <w:adjustRightInd w:val="0"/>
              <w:jc w:val="center"/>
              <w:rPr>
                <w:rFonts w:ascii="Times New Roman" w:hAnsi="Times New Roman" w:cs="Times New Roman"/>
                <w:b/>
                <w:snapToGrid w:val="0"/>
                <w:color w:val="000000"/>
                <w:lang w:val="uk-UA"/>
              </w:rPr>
            </w:pPr>
            <w:r w:rsidRPr="0067298F">
              <w:rPr>
                <w:rFonts w:ascii="Times New Roman" w:hAnsi="Times New Roman" w:cs="Times New Roman"/>
                <w:b/>
                <w:snapToGrid w:val="0"/>
                <w:color w:val="000000"/>
                <w:lang w:val="uk-UA"/>
              </w:rPr>
              <w:lastRenderedPageBreak/>
              <w:t xml:space="preserve">вага </w:t>
            </w:r>
            <w:r>
              <w:rPr>
                <w:rFonts w:ascii="Times New Roman" w:hAnsi="Times New Roman" w:cs="Times New Roman"/>
                <w:b/>
                <w:snapToGrid w:val="0"/>
                <w:color w:val="000000"/>
                <w:lang w:val="uk-UA"/>
              </w:rPr>
              <w:t>1м</w:t>
            </w:r>
            <w:r w:rsidRPr="0067298F">
              <w:rPr>
                <w:rFonts w:ascii="Times New Roman" w:hAnsi="Times New Roman" w:cs="Times New Roman"/>
                <w:b/>
                <w:snapToGrid w:val="0"/>
                <w:color w:val="000000"/>
                <w:lang w:val="uk-UA"/>
              </w:rPr>
              <w:t>, кг</w:t>
            </w:r>
          </w:p>
        </w:tc>
      </w:tr>
      <w:tr w:rsidR="0051075D" w14:paraId="30A5137C" w14:textId="77777777" w:rsidTr="0051075D">
        <w:trPr>
          <w:trHeight w:val="667"/>
        </w:trPr>
        <w:tc>
          <w:tcPr>
            <w:tcW w:w="1382" w:type="dxa"/>
            <w:vMerge w:val="restart"/>
            <w:vAlign w:val="center"/>
          </w:tcPr>
          <w:p w14:paraId="5CEBCD21" w14:textId="77777777" w:rsidR="0051075D" w:rsidRDefault="0051075D" w:rsidP="002A4B89">
            <w:pPr>
              <w:adjustRightInd w:val="0"/>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lastRenderedPageBreak/>
              <w:t>10</w:t>
            </w:r>
          </w:p>
        </w:tc>
        <w:tc>
          <w:tcPr>
            <w:tcW w:w="1276" w:type="dxa"/>
            <w:vMerge w:val="restart"/>
            <w:vAlign w:val="center"/>
          </w:tcPr>
          <w:p w14:paraId="5D294DD1" w14:textId="77777777" w:rsidR="0051075D" w:rsidRPr="00AB3500" w:rsidRDefault="0051075D" w:rsidP="002A4B89">
            <w:pPr>
              <w:adjustRightInd w:val="0"/>
              <w:jc w:val="center"/>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lang w:val="en-US"/>
              </w:rPr>
              <w:t>100</w:t>
            </w:r>
          </w:p>
        </w:tc>
        <w:tc>
          <w:tcPr>
            <w:tcW w:w="850" w:type="dxa"/>
            <w:vAlign w:val="center"/>
          </w:tcPr>
          <w:p w14:paraId="149B3B2C" w14:textId="77777777" w:rsidR="0051075D" w:rsidRPr="00AB3500" w:rsidRDefault="0051075D" w:rsidP="002A4B89">
            <w:pPr>
              <w:adjustRightInd w:val="0"/>
              <w:jc w:val="center"/>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lang w:val="en-US"/>
              </w:rPr>
              <w:t>7</w:t>
            </w:r>
          </w:p>
        </w:tc>
        <w:tc>
          <w:tcPr>
            <w:tcW w:w="993" w:type="dxa"/>
            <w:vMerge w:val="restart"/>
            <w:vAlign w:val="center"/>
          </w:tcPr>
          <w:p w14:paraId="2239BE35" w14:textId="77777777" w:rsidR="0051075D" w:rsidRPr="00AB3500" w:rsidRDefault="0051075D" w:rsidP="002A4B89">
            <w:pPr>
              <w:adjustRightInd w:val="0"/>
              <w:jc w:val="center"/>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lang w:val="en-US"/>
              </w:rPr>
              <w:t>12</w:t>
            </w:r>
          </w:p>
        </w:tc>
        <w:tc>
          <w:tcPr>
            <w:tcW w:w="1134" w:type="dxa"/>
            <w:vMerge w:val="restart"/>
            <w:vAlign w:val="center"/>
          </w:tcPr>
          <w:p w14:paraId="1C42CC13" w14:textId="77777777" w:rsidR="0051075D" w:rsidRPr="00AB3500" w:rsidRDefault="0051075D" w:rsidP="002A4B89">
            <w:pPr>
              <w:adjustRightInd w:val="0"/>
              <w:jc w:val="center"/>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lang w:val="en-US"/>
              </w:rPr>
              <w:t>4</w:t>
            </w:r>
          </w:p>
        </w:tc>
        <w:tc>
          <w:tcPr>
            <w:tcW w:w="2409" w:type="dxa"/>
            <w:vAlign w:val="center"/>
          </w:tcPr>
          <w:p w14:paraId="499BC00E" w14:textId="77777777" w:rsidR="0051075D" w:rsidRPr="00A033FF" w:rsidRDefault="0051075D" w:rsidP="002A4B89">
            <w:pPr>
              <w:adjustRightInd w:val="0"/>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13,75</w:t>
            </w:r>
          </w:p>
        </w:tc>
        <w:tc>
          <w:tcPr>
            <w:tcW w:w="1985" w:type="dxa"/>
            <w:vAlign w:val="center"/>
          </w:tcPr>
          <w:p w14:paraId="7723BA0A" w14:textId="77777777" w:rsidR="0051075D" w:rsidRPr="0067298F" w:rsidRDefault="0051075D" w:rsidP="002A4B89">
            <w:pPr>
              <w:adjustRightInd w:val="0"/>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10,79</w:t>
            </w:r>
          </w:p>
        </w:tc>
      </w:tr>
      <w:tr w:rsidR="0051075D" w14:paraId="4D58F87C" w14:textId="77777777" w:rsidTr="0051075D">
        <w:trPr>
          <w:trHeight w:val="667"/>
        </w:trPr>
        <w:tc>
          <w:tcPr>
            <w:tcW w:w="1382" w:type="dxa"/>
            <w:vMerge/>
            <w:vAlign w:val="center"/>
          </w:tcPr>
          <w:p w14:paraId="47E94DA5" w14:textId="77777777" w:rsidR="0051075D" w:rsidRDefault="0051075D" w:rsidP="002A4B89">
            <w:pPr>
              <w:adjustRightInd w:val="0"/>
              <w:jc w:val="center"/>
              <w:rPr>
                <w:rFonts w:ascii="Times New Roman" w:hAnsi="Times New Roman" w:cs="Times New Roman"/>
                <w:snapToGrid w:val="0"/>
                <w:color w:val="000000"/>
                <w:sz w:val="28"/>
                <w:szCs w:val="28"/>
                <w:lang w:val="uk-UA"/>
              </w:rPr>
            </w:pPr>
          </w:p>
        </w:tc>
        <w:tc>
          <w:tcPr>
            <w:tcW w:w="1276" w:type="dxa"/>
            <w:vMerge/>
            <w:vAlign w:val="center"/>
          </w:tcPr>
          <w:p w14:paraId="5C54855C" w14:textId="77777777" w:rsidR="0051075D" w:rsidRPr="002709B8" w:rsidRDefault="0051075D" w:rsidP="002A4B89">
            <w:pPr>
              <w:adjustRightInd w:val="0"/>
              <w:jc w:val="center"/>
              <w:rPr>
                <w:rFonts w:ascii="Times New Roman" w:hAnsi="Times New Roman" w:cs="Times New Roman"/>
                <w:snapToGrid w:val="0"/>
                <w:color w:val="000000"/>
                <w:sz w:val="28"/>
                <w:szCs w:val="28"/>
              </w:rPr>
            </w:pPr>
          </w:p>
        </w:tc>
        <w:tc>
          <w:tcPr>
            <w:tcW w:w="850" w:type="dxa"/>
            <w:vAlign w:val="center"/>
          </w:tcPr>
          <w:p w14:paraId="318D1322" w14:textId="77777777" w:rsidR="0051075D" w:rsidRPr="00AB3500" w:rsidRDefault="0051075D" w:rsidP="002A4B89">
            <w:pPr>
              <w:adjustRightInd w:val="0"/>
              <w:jc w:val="center"/>
              <w:rPr>
                <w:rFonts w:ascii="Times New Roman" w:hAnsi="Times New Roman" w:cs="Times New Roman"/>
                <w:snapToGrid w:val="0"/>
                <w:color w:val="000000"/>
                <w:sz w:val="28"/>
                <w:szCs w:val="28"/>
                <w:lang w:val="en-US"/>
              </w:rPr>
            </w:pPr>
            <w:r>
              <w:rPr>
                <w:rFonts w:ascii="Times New Roman" w:hAnsi="Times New Roman" w:cs="Times New Roman"/>
                <w:snapToGrid w:val="0"/>
                <w:color w:val="000000"/>
                <w:sz w:val="28"/>
                <w:szCs w:val="28"/>
                <w:lang w:val="en-US"/>
              </w:rPr>
              <w:t>10</w:t>
            </w:r>
          </w:p>
        </w:tc>
        <w:tc>
          <w:tcPr>
            <w:tcW w:w="993" w:type="dxa"/>
            <w:vMerge/>
            <w:vAlign w:val="center"/>
          </w:tcPr>
          <w:p w14:paraId="0C23CABC" w14:textId="77777777" w:rsidR="0051075D" w:rsidRDefault="0051075D" w:rsidP="002A4B89">
            <w:pPr>
              <w:adjustRightInd w:val="0"/>
              <w:jc w:val="center"/>
              <w:rPr>
                <w:rFonts w:ascii="Times New Roman" w:hAnsi="Times New Roman" w:cs="Times New Roman"/>
                <w:snapToGrid w:val="0"/>
                <w:color w:val="000000"/>
                <w:sz w:val="28"/>
                <w:szCs w:val="28"/>
                <w:lang w:val="uk-UA"/>
              </w:rPr>
            </w:pPr>
          </w:p>
        </w:tc>
        <w:tc>
          <w:tcPr>
            <w:tcW w:w="1134" w:type="dxa"/>
            <w:vMerge/>
            <w:vAlign w:val="center"/>
          </w:tcPr>
          <w:p w14:paraId="5425376E" w14:textId="77777777" w:rsidR="0051075D" w:rsidRPr="002709B8" w:rsidRDefault="0051075D" w:rsidP="002A4B89">
            <w:pPr>
              <w:adjustRightInd w:val="0"/>
              <w:jc w:val="center"/>
              <w:rPr>
                <w:rFonts w:ascii="Times New Roman" w:hAnsi="Times New Roman" w:cs="Times New Roman"/>
                <w:snapToGrid w:val="0"/>
                <w:color w:val="000000"/>
                <w:sz w:val="28"/>
                <w:szCs w:val="28"/>
              </w:rPr>
            </w:pPr>
          </w:p>
        </w:tc>
        <w:tc>
          <w:tcPr>
            <w:tcW w:w="2409" w:type="dxa"/>
            <w:vAlign w:val="center"/>
          </w:tcPr>
          <w:p w14:paraId="32CC6C73" w14:textId="77777777" w:rsidR="0051075D" w:rsidRPr="00A033FF" w:rsidRDefault="0051075D" w:rsidP="002A4B89">
            <w:pPr>
              <w:adjustRightInd w:val="0"/>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19,24</w:t>
            </w:r>
          </w:p>
        </w:tc>
        <w:tc>
          <w:tcPr>
            <w:tcW w:w="1985" w:type="dxa"/>
            <w:vAlign w:val="center"/>
          </w:tcPr>
          <w:p w14:paraId="67694A6C" w14:textId="77777777" w:rsidR="0051075D" w:rsidRDefault="0051075D" w:rsidP="002A4B89">
            <w:pPr>
              <w:adjustRightInd w:val="0"/>
              <w:jc w:val="center"/>
              <w:rPr>
                <w:rFonts w:ascii="Times New Roman" w:hAnsi="Times New Roman" w:cs="Times New Roman"/>
                <w:snapToGrid w:val="0"/>
                <w:color w:val="000000"/>
                <w:sz w:val="28"/>
                <w:szCs w:val="28"/>
                <w:lang w:val="uk-UA"/>
              </w:rPr>
            </w:pPr>
            <w:r>
              <w:rPr>
                <w:rFonts w:ascii="Times New Roman" w:hAnsi="Times New Roman" w:cs="Times New Roman"/>
                <w:snapToGrid w:val="0"/>
                <w:color w:val="000000"/>
                <w:sz w:val="28"/>
                <w:szCs w:val="28"/>
                <w:lang w:val="uk-UA"/>
              </w:rPr>
              <w:t>15,10</w:t>
            </w:r>
          </w:p>
        </w:tc>
      </w:tr>
    </w:tbl>
    <w:p w14:paraId="139B3039" w14:textId="77777777" w:rsidR="0051075D" w:rsidRPr="00F80514" w:rsidRDefault="0051075D" w:rsidP="0051075D">
      <w:pPr>
        <w:shd w:val="clear" w:color="auto" w:fill="FFFFFF"/>
        <w:jc w:val="both"/>
        <w:rPr>
          <w:rFonts w:ascii="Times New Roman" w:hAnsi="Times New Roman" w:cs="Times New Roman"/>
          <w:b/>
          <w:snapToGrid w:val="0"/>
          <w:color w:val="000000"/>
          <w:sz w:val="28"/>
          <w:szCs w:val="28"/>
          <w:lang w:val="uk-UA"/>
        </w:rPr>
      </w:pPr>
    </w:p>
    <w:p w14:paraId="62D77542" w14:textId="2C38A1E4" w:rsidR="0051075D" w:rsidRPr="00F80514" w:rsidRDefault="0051075D" w:rsidP="0051075D">
      <w:pPr>
        <w:shd w:val="clear" w:color="auto" w:fill="FFFFFF"/>
        <w:ind w:left="-142"/>
        <w:rPr>
          <w:rFonts w:ascii="Times New Roman" w:hAnsi="Times New Roman" w:cs="Times New Roman"/>
          <w:b/>
          <w:snapToGrid w:val="0"/>
          <w:color w:val="000000"/>
          <w:sz w:val="28"/>
          <w:szCs w:val="28"/>
          <w:lang w:val="uk-UA"/>
        </w:rPr>
      </w:pPr>
      <w:r w:rsidRPr="00F80514">
        <w:rPr>
          <w:rFonts w:ascii="Times New Roman" w:hAnsi="Times New Roman" w:cs="Times New Roman"/>
          <w:b/>
          <w:snapToGrid w:val="0"/>
          <w:color w:val="000000"/>
          <w:sz w:val="28"/>
          <w:szCs w:val="28"/>
          <w:lang w:val="uk-UA"/>
        </w:rPr>
        <w:t>Гарантійні зобов’язання</w:t>
      </w:r>
      <w:r w:rsidRPr="00F80514">
        <w:rPr>
          <w:rFonts w:ascii="Times New Roman" w:hAnsi="Times New Roman" w:cs="Times New Roman"/>
          <w:b/>
          <w:bCs/>
          <w:color w:val="000000"/>
          <w:sz w:val="28"/>
          <w:szCs w:val="28"/>
          <w:lang w:val="uk-UA"/>
        </w:rPr>
        <w:t xml:space="preserve">: </w:t>
      </w:r>
      <w:r w:rsidRPr="00F80514">
        <w:rPr>
          <w:rFonts w:ascii="Times New Roman" w:hAnsi="Times New Roman" w:cs="Times New Roman"/>
          <w:bCs/>
          <w:color w:val="000000"/>
          <w:sz w:val="28"/>
          <w:szCs w:val="28"/>
          <w:lang w:val="uk-UA"/>
        </w:rPr>
        <w:t>в</w:t>
      </w:r>
      <w:r w:rsidRPr="00F80514">
        <w:rPr>
          <w:rFonts w:ascii="Times New Roman" w:hAnsi="Times New Roman" w:cs="Times New Roman"/>
          <w:snapToGrid w:val="0"/>
          <w:color w:val="000000"/>
          <w:sz w:val="28"/>
          <w:szCs w:val="28"/>
          <w:lang w:val="uk-UA"/>
        </w:rPr>
        <w:t>ідповідно до нормативного документу виробника</w:t>
      </w:r>
    </w:p>
    <w:p w14:paraId="4CE2C8C0" w14:textId="13A76606" w:rsidR="0051075D" w:rsidRPr="0051075D" w:rsidRDefault="0051075D" w:rsidP="0051075D">
      <w:pPr>
        <w:shd w:val="clear" w:color="auto" w:fill="FFFFFF"/>
        <w:ind w:left="-142"/>
        <w:rPr>
          <w:rFonts w:ascii="Times New Roman" w:hAnsi="Times New Roman" w:cs="Times New Roman"/>
          <w:b/>
          <w:snapToGrid w:val="0"/>
          <w:color w:val="000000"/>
          <w:sz w:val="28"/>
          <w:szCs w:val="28"/>
          <w:lang w:val="uk-UA"/>
        </w:rPr>
      </w:pPr>
      <w:r w:rsidRPr="00F80514">
        <w:rPr>
          <w:rFonts w:ascii="Times New Roman" w:hAnsi="Times New Roman" w:cs="Times New Roman"/>
          <w:b/>
          <w:snapToGrid w:val="0"/>
          <w:color w:val="000000"/>
          <w:sz w:val="28"/>
          <w:szCs w:val="28"/>
          <w:lang w:val="uk-UA"/>
        </w:rPr>
        <w:t>Умови маркування</w:t>
      </w:r>
      <w:r w:rsidRPr="00F80514">
        <w:rPr>
          <w:rFonts w:ascii="Times New Roman" w:hAnsi="Times New Roman" w:cs="Times New Roman"/>
          <w:b/>
          <w:bCs/>
          <w:color w:val="000000"/>
          <w:sz w:val="28"/>
          <w:szCs w:val="28"/>
          <w:lang w:val="uk-UA"/>
        </w:rPr>
        <w:t xml:space="preserve">: </w:t>
      </w:r>
      <w:r w:rsidRPr="00F80514">
        <w:rPr>
          <w:rFonts w:ascii="Times New Roman" w:hAnsi="Times New Roman" w:cs="Times New Roman"/>
          <w:bCs/>
          <w:color w:val="000000"/>
          <w:sz w:val="28"/>
          <w:szCs w:val="28"/>
          <w:lang w:val="uk-UA"/>
        </w:rPr>
        <w:t>в</w:t>
      </w:r>
      <w:r w:rsidRPr="00F80514">
        <w:rPr>
          <w:rFonts w:ascii="Times New Roman" w:hAnsi="Times New Roman" w:cs="Times New Roman"/>
          <w:snapToGrid w:val="0"/>
          <w:color w:val="000000"/>
          <w:sz w:val="28"/>
          <w:szCs w:val="28"/>
          <w:lang w:val="uk-UA"/>
        </w:rPr>
        <w:t>ідповідно до нормативного документу виробника</w:t>
      </w:r>
    </w:p>
    <w:p w14:paraId="28DE5130" w14:textId="18019E84" w:rsidR="0051075D" w:rsidRPr="0051075D" w:rsidRDefault="0051075D" w:rsidP="0051075D">
      <w:pPr>
        <w:shd w:val="clear" w:color="auto" w:fill="FFFFFF"/>
        <w:ind w:left="-142"/>
        <w:rPr>
          <w:rFonts w:ascii="Times New Roman" w:hAnsi="Times New Roman" w:cs="Times New Roman"/>
          <w:b/>
          <w:snapToGrid w:val="0"/>
          <w:color w:val="000000"/>
          <w:sz w:val="28"/>
          <w:szCs w:val="28"/>
          <w:lang w:val="uk-UA"/>
        </w:rPr>
      </w:pPr>
      <w:r w:rsidRPr="00F80514">
        <w:rPr>
          <w:rFonts w:ascii="Times New Roman" w:hAnsi="Times New Roman" w:cs="Times New Roman"/>
          <w:b/>
          <w:snapToGrid w:val="0"/>
          <w:color w:val="000000"/>
          <w:sz w:val="28"/>
          <w:szCs w:val="28"/>
          <w:lang w:val="uk-UA"/>
        </w:rPr>
        <w:t>Умови пакування</w:t>
      </w:r>
      <w:r w:rsidRPr="00F80514">
        <w:rPr>
          <w:rFonts w:ascii="Times New Roman" w:hAnsi="Times New Roman" w:cs="Times New Roman"/>
          <w:b/>
          <w:bCs/>
          <w:color w:val="000000"/>
          <w:sz w:val="28"/>
          <w:szCs w:val="28"/>
          <w:lang w:val="uk-UA"/>
        </w:rPr>
        <w:t xml:space="preserve">: </w:t>
      </w:r>
      <w:r w:rsidRPr="00F80514">
        <w:rPr>
          <w:rFonts w:ascii="Times New Roman" w:hAnsi="Times New Roman" w:cs="Times New Roman"/>
          <w:b/>
          <w:snapToGrid w:val="0"/>
          <w:color w:val="000000"/>
          <w:sz w:val="28"/>
          <w:szCs w:val="28"/>
          <w:lang w:val="uk-UA"/>
        </w:rPr>
        <w:t xml:space="preserve"> </w:t>
      </w:r>
      <w:r w:rsidRPr="00F80514">
        <w:rPr>
          <w:rFonts w:ascii="Times New Roman" w:hAnsi="Times New Roman" w:cs="Times New Roman"/>
          <w:snapToGrid w:val="0"/>
          <w:color w:val="000000"/>
          <w:sz w:val="28"/>
          <w:szCs w:val="28"/>
          <w:lang w:val="uk-UA"/>
        </w:rPr>
        <w:t>відповідно до нормативного документу виробника</w:t>
      </w:r>
    </w:p>
    <w:p w14:paraId="73DD5E0C" w14:textId="77777777" w:rsidR="0051075D" w:rsidRPr="00F80514" w:rsidRDefault="0051075D" w:rsidP="0051075D">
      <w:pPr>
        <w:shd w:val="clear" w:color="auto" w:fill="FFFFFF"/>
        <w:ind w:left="-142"/>
        <w:rPr>
          <w:rFonts w:ascii="Times New Roman" w:hAnsi="Times New Roman" w:cs="Times New Roman"/>
          <w:b/>
          <w:snapToGrid w:val="0"/>
          <w:color w:val="000000"/>
          <w:sz w:val="28"/>
          <w:szCs w:val="28"/>
          <w:lang w:val="uk-UA"/>
        </w:rPr>
      </w:pPr>
      <w:r w:rsidRPr="00F80514">
        <w:rPr>
          <w:rFonts w:ascii="Times New Roman" w:hAnsi="Times New Roman" w:cs="Times New Roman"/>
          <w:b/>
          <w:snapToGrid w:val="0"/>
          <w:color w:val="000000"/>
          <w:sz w:val="28"/>
          <w:szCs w:val="28"/>
          <w:lang w:val="uk-UA"/>
        </w:rPr>
        <w:t>Умови транспортування, зберігання</w:t>
      </w:r>
      <w:r w:rsidRPr="00F80514">
        <w:rPr>
          <w:rFonts w:ascii="Times New Roman" w:hAnsi="Times New Roman" w:cs="Times New Roman"/>
          <w:b/>
          <w:bCs/>
          <w:color w:val="000000"/>
          <w:sz w:val="28"/>
          <w:szCs w:val="28"/>
          <w:lang w:val="uk-UA"/>
        </w:rPr>
        <w:t xml:space="preserve">: </w:t>
      </w:r>
      <w:r w:rsidRPr="00F80514">
        <w:rPr>
          <w:rFonts w:ascii="Times New Roman" w:hAnsi="Times New Roman" w:cs="Times New Roman"/>
          <w:b/>
          <w:snapToGrid w:val="0"/>
          <w:color w:val="000000"/>
          <w:sz w:val="28"/>
          <w:szCs w:val="28"/>
          <w:lang w:val="uk-UA"/>
        </w:rPr>
        <w:t xml:space="preserve"> </w:t>
      </w:r>
      <w:r w:rsidRPr="00F80514">
        <w:rPr>
          <w:rFonts w:ascii="Times New Roman" w:hAnsi="Times New Roman" w:cs="Times New Roman"/>
          <w:snapToGrid w:val="0"/>
          <w:color w:val="000000"/>
          <w:sz w:val="28"/>
          <w:szCs w:val="28"/>
          <w:lang w:val="uk-UA"/>
        </w:rPr>
        <w:t>відповідно до нормативного документу виробника</w:t>
      </w:r>
    </w:p>
    <w:p w14:paraId="0E6DFABB" w14:textId="77777777" w:rsidR="0051075D" w:rsidRPr="00F80514" w:rsidRDefault="0051075D" w:rsidP="0051075D">
      <w:pPr>
        <w:rPr>
          <w:rFonts w:ascii="Times New Roman" w:hAnsi="Times New Roman" w:cs="Times New Roman"/>
          <w:sz w:val="28"/>
          <w:szCs w:val="28"/>
          <w:lang w:val="uk-UA"/>
        </w:rPr>
      </w:pPr>
    </w:p>
    <w:p w14:paraId="7DF7E768" w14:textId="77777777" w:rsidR="00342762" w:rsidRPr="0051075D" w:rsidRDefault="00342762" w:rsidP="00B03F7A">
      <w:pPr>
        <w:pBdr>
          <w:top w:val="single" w:sz="4" w:space="1" w:color="auto"/>
        </w:pBdr>
        <w:ind w:left="126" w:right="142"/>
        <w:rPr>
          <w:rFonts w:ascii="Times New Roman" w:hAnsi="Times New Roman" w:cs="Times New Roman"/>
          <w:sz w:val="20"/>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51075D"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відповідності (Документи </w:t>
            </w:r>
            <w:r w:rsidRPr="009C077B">
              <w:rPr>
                <w:rFonts w:cs="Times New Roman"/>
                <w:lang w:val="uk-UA"/>
              </w:rPr>
              <w:lastRenderedPageBreak/>
              <w:t>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91A8142" w14:textId="77777777" w:rsidR="00CE7D83" w:rsidRPr="00CE7D83" w:rsidRDefault="00CE7D83" w:rsidP="00CE7D83">
            <w:pPr>
              <w:keepNext/>
              <w:keepLines/>
              <w:adjustRightInd w:val="0"/>
              <w:ind w:left="15"/>
              <w:rPr>
                <w:rFonts w:ascii="Times New Roman" w:hAnsi="Times New Roman" w:cs="Times New Roman"/>
                <w:color w:val="000000"/>
                <w:lang w:val="uk-UA"/>
              </w:rPr>
            </w:pPr>
            <w:r w:rsidRPr="00CE7D83">
              <w:rPr>
                <w:rFonts w:ascii="Times New Roman" w:hAnsi="Times New Roman" w:cs="Times New Roman"/>
                <w:color w:val="000000"/>
                <w:lang w:val="uk-UA"/>
              </w:rPr>
              <w:lastRenderedPageBreak/>
              <w:t>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CE7D83">
              <w:rPr>
                <w:rFonts w:ascii="Times New Roman" w:hAnsi="Times New Roman" w:cs="Times New Roman"/>
                <w:color w:val="000000"/>
                <w:lang w:val="uk-UA"/>
              </w:rPr>
              <w:br/>
              <w:t>- декларації (у тому числі декларації про відповідність);</w:t>
            </w:r>
            <w:r w:rsidRPr="00CE7D83">
              <w:rPr>
                <w:rFonts w:ascii="Times New Roman" w:hAnsi="Times New Roman" w:cs="Times New Roman"/>
                <w:color w:val="000000"/>
                <w:lang w:val="uk-UA"/>
              </w:rPr>
              <w:br/>
              <w:t>- протоколу (у тому числі протоколу випробувань);</w:t>
            </w:r>
            <w:r w:rsidRPr="00CE7D83">
              <w:rPr>
                <w:rFonts w:ascii="Times New Roman" w:hAnsi="Times New Roman" w:cs="Times New Roman"/>
                <w:color w:val="000000"/>
                <w:lang w:val="uk-UA"/>
              </w:rPr>
              <w:br/>
            </w:r>
            <w:r w:rsidRPr="00CE7D83">
              <w:rPr>
                <w:rFonts w:ascii="Times New Roman" w:hAnsi="Times New Roman" w:cs="Times New Roman"/>
                <w:color w:val="000000"/>
                <w:lang w:val="uk-UA"/>
              </w:rPr>
              <w:lastRenderedPageBreak/>
              <w:t>- звіту;</w:t>
            </w:r>
            <w:r w:rsidRPr="00CE7D83">
              <w:rPr>
                <w:rFonts w:ascii="Times New Roman" w:hAnsi="Times New Roman" w:cs="Times New Roman"/>
                <w:color w:val="000000"/>
                <w:lang w:val="uk-UA"/>
              </w:rPr>
              <w:br/>
              <w:t>- висновку;</w:t>
            </w:r>
            <w:r w:rsidRPr="00CE7D83">
              <w:rPr>
                <w:rFonts w:ascii="Times New Roman" w:hAnsi="Times New Roman" w:cs="Times New Roman"/>
                <w:color w:val="000000"/>
                <w:lang w:val="uk-UA"/>
              </w:rPr>
              <w:br/>
              <w:t>- сертифікату (у тому числі сертифікату відповідності);</w:t>
            </w:r>
            <w:r w:rsidRPr="00CE7D83">
              <w:rPr>
                <w:rFonts w:ascii="Times New Roman" w:hAnsi="Times New Roman" w:cs="Times New Roman"/>
                <w:color w:val="000000"/>
                <w:lang w:val="uk-UA"/>
              </w:rPr>
              <w:br/>
              <w:t>- атестату;</w:t>
            </w:r>
            <w:r w:rsidRPr="00CE7D83">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CE7D83">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CE7D83">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CE7D83">
              <w:rPr>
                <w:rFonts w:ascii="Times New Roman" w:hAnsi="Times New Roman" w:cs="Times New Roman"/>
                <w:color w:val="000000"/>
                <w:lang w:val="uk-UA"/>
              </w:rPr>
              <w:t>/</w:t>
            </w:r>
            <w:r>
              <w:rPr>
                <w:rFonts w:ascii="Times New Roman" w:hAnsi="Times New Roman" w:cs="Times New Roman"/>
                <w:color w:val="000000"/>
              </w:rPr>
              <w:t>IEC</w:t>
            </w:r>
            <w:r w:rsidRPr="00CE7D83">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6260183" w14:textId="48DD9D23" w:rsidR="00342762" w:rsidRPr="009C077B" w:rsidRDefault="00CE7D83" w:rsidP="00CE7D83">
            <w:pPr>
              <w:tabs>
                <w:tab w:val="left" w:pos="5889"/>
              </w:tabs>
              <w:rPr>
                <w:rFonts w:cs="Times New Roman"/>
                <w:lang w:val="uk-UA"/>
              </w:rPr>
            </w:pPr>
            <w:r w:rsidRPr="00CE7D83">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3CBD1BFE" w:rsidR="00342762" w:rsidRPr="00B90AE9" w:rsidRDefault="002C4073" w:rsidP="0051075D">
            <w:pPr>
              <w:keepNext/>
              <w:keepLines/>
              <w:adjustRightInd w:val="0"/>
              <w:ind w:left="15"/>
              <w:rPr>
                <w:rFonts w:cs="Times New Roman"/>
              </w:rPr>
            </w:pPr>
            <w:r>
              <w:rPr>
                <w:rFonts w:ascii="Times New Roman" w:hAnsi="Times New Roman" w:cs="Times New Roman"/>
                <w:color w:val="000000"/>
              </w:rPr>
              <w:t xml:space="preserve">     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Pr>
                <w:rFonts w:ascii="Times New Roman" w:hAnsi="Times New Roman" w:cs="Times New Roman"/>
                <w:color w:val="000000"/>
              </w:rPr>
              <w:t>м</w:t>
            </w:r>
            <w:proofErr w:type="gramEnd"/>
            <w:r>
              <w:rPr>
                <w:rFonts w:ascii="Times New Roman" w:hAnsi="Times New Roman" w:cs="Times New Roman"/>
                <w:color w:val="000000"/>
              </w:rPr>
              <w:t>істити розділи та інформацію відповідно до розділу 4 ГОСТ 2.114-95.</w:t>
            </w:r>
            <w:r>
              <w:rPr>
                <w:rFonts w:ascii="Times New Roman" w:hAnsi="Times New Roman" w:cs="Times New Roman"/>
                <w:color w:val="000000"/>
              </w:rPr>
              <w:br/>
              <w:t xml:space="preserve">     2.</w:t>
            </w:r>
            <w:r w:rsidR="0051075D">
              <w:rPr>
                <w:rFonts w:ascii="Times New Roman" w:hAnsi="Times New Roman" w:cs="Times New Roman"/>
                <w:color w:val="000000"/>
                <w:lang w:val="uk-UA"/>
              </w:rPr>
              <w:t>2.</w:t>
            </w:r>
            <w:r>
              <w:rPr>
                <w:rFonts w:ascii="Times New Roman" w:hAnsi="Times New Roman" w:cs="Times New Roman"/>
                <w:color w:val="000000"/>
              </w:rPr>
              <w:t xml:space="preserve"> На кожен вид продукції надати скановані зразки документів </w:t>
            </w:r>
            <w:r>
              <w:rPr>
                <w:rFonts w:ascii="Times New Roman" w:hAnsi="Times New Roman" w:cs="Times New Roman"/>
                <w:color w:val="000000"/>
              </w:rPr>
              <w:lastRenderedPageBreak/>
              <w:t xml:space="preserve">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w:t>
            </w:r>
            <w:r w:rsidR="0051075D">
              <w:rPr>
                <w:rFonts w:ascii="Times New Roman" w:hAnsi="Times New Roman" w:cs="Times New Roman"/>
                <w:color w:val="000000"/>
              </w:rPr>
              <w:t>укції, що постачається.</w:t>
            </w:r>
            <w:r w:rsidR="0051075D">
              <w:rPr>
                <w:rFonts w:ascii="Times New Roman" w:hAnsi="Times New Roman" w:cs="Times New Roman"/>
                <w:color w:val="000000"/>
              </w:rPr>
              <w:br/>
              <w:t xml:space="preserve">     2.</w:t>
            </w:r>
            <w:r w:rsidR="0051075D">
              <w:rPr>
                <w:rFonts w:ascii="Times New Roman" w:hAnsi="Times New Roman" w:cs="Times New Roman"/>
                <w:color w:val="000000"/>
                <w:lang w:val="uk-UA"/>
              </w:rPr>
              <w:t>3</w:t>
            </w:r>
            <w:r>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88C176F" w14:textId="77777777" w:rsidR="002C4073" w:rsidRDefault="002C4073" w:rsidP="002C4073">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20CF1068" w14:textId="3D271FD5" w:rsidR="002C4073" w:rsidRPr="002C4073" w:rsidRDefault="002C4073" w:rsidP="002C4073">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3.2 Якщо продукція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регламентам.</w:t>
            </w:r>
          </w:p>
          <w:p w14:paraId="3BFDA55D" w14:textId="42B53A00" w:rsidR="00342762" w:rsidRPr="00F314B3" w:rsidRDefault="002C4073" w:rsidP="002C4073">
            <w:pPr>
              <w:rPr>
                <w:rFonts w:cs="Times New Roman"/>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45C70B70" w:rsidR="00342762" w:rsidRPr="009C077B" w:rsidRDefault="00E732E0"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 xml:space="preserve">5.1 Якщо продукція виготовляється за нормативно-технічною документацією, </w:t>
            </w:r>
            <w:r w:rsidRPr="00E60EE7">
              <w:rPr>
                <w:rFonts w:cs="Times New Roman"/>
              </w:rPr>
              <w:lastRenderedPageBreak/>
              <w:t>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F314B3" w:rsidRPr="00B41A96" w14:paraId="0ABCA567"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EA2E5C">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EA2E5C">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EA2E5C">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EA2E5C">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EA2E5C">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EA2E5C">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EA2E5C">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EA2E5C">
            <w:pPr>
              <w:jc w:val="center"/>
              <w:rPr>
                <w:rFonts w:cs="Times New Roman"/>
                <w:sz w:val="20"/>
              </w:rPr>
            </w:pPr>
            <w:r w:rsidRPr="00B41A96">
              <w:rPr>
                <w:rFonts w:cs="Times New Roman"/>
                <w:b/>
                <w:sz w:val="20"/>
              </w:rPr>
              <w:t>12</w:t>
            </w:r>
          </w:p>
        </w:tc>
      </w:tr>
      <w:tr w:rsidR="00F314B3" w:rsidRPr="00B41A96" w14:paraId="586C63C1"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EA2E5C">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EA2E5C">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lastRenderedPageBreak/>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lastRenderedPageBreak/>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2E1BD056" w14:textId="77777777" w:rsidR="00F314B3" w:rsidRPr="00B41A96" w:rsidRDefault="00F314B3" w:rsidP="00F314B3">
      <w:pPr>
        <w:jc w:val="center"/>
        <w:rPr>
          <w:rFonts w:cs="Times New Roman"/>
        </w:rPr>
      </w:pPr>
    </w:p>
    <w:p w14:paraId="06713904" w14:textId="77777777" w:rsidR="00CD29C5" w:rsidRDefault="00CD29C5" w:rsidP="00E063F4">
      <w:pPr>
        <w:pBdr>
          <w:top w:val="nil"/>
          <w:left w:val="nil"/>
          <w:bottom w:val="nil"/>
          <w:right w:val="nil"/>
          <w:between w:val="nil"/>
        </w:pBdr>
        <w:jc w:val="both"/>
        <w:rPr>
          <w:rFonts w:ascii="Times New Roman" w:hAnsi="Times New Roman" w:cs="Times New Roman"/>
          <w:sz w:val="28"/>
          <w:szCs w:val="28"/>
          <w:lang w:val="uk-UA" w:eastAsia="uk-UA"/>
        </w:rPr>
      </w:pPr>
    </w:p>
    <w:tbl>
      <w:tblPr>
        <w:tblW w:w="946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CD29C5" w14:paraId="60972F08" w14:textId="77777777" w:rsidTr="00CD29C5">
        <w:tc>
          <w:tcPr>
            <w:tcW w:w="535" w:type="dxa"/>
            <w:tcBorders>
              <w:top w:val="single" w:sz="4" w:space="0" w:color="auto"/>
              <w:left w:val="single" w:sz="4" w:space="0" w:color="auto"/>
              <w:bottom w:val="single" w:sz="4" w:space="0" w:color="auto"/>
              <w:right w:val="single" w:sz="4" w:space="0" w:color="auto"/>
            </w:tcBorders>
            <w:hideMark/>
          </w:tcPr>
          <w:p w14:paraId="3EBC6710" w14:textId="77777777" w:rsidR="00CD29C5" w:rsidRDefault="00CD29C5" w:rsidP="00250780">
            <w:pPr>
              <w:jc w:val="center"/>
              <w:rPr>
                <w:b/>
                <w:sz w:val="18"/>
                <w:szCs w:val="18"/>
                <w:lang w:val="uk-UA" w:eastAsia="uk-UA"/>
              </w:rPr>
            </w:pPr>
            <w:r>
              <w:rPr>
                <w:b/>
                <w:sz w:val="18"/>
                <w:szCs w:val="18"/>
                <w:lang w:val="uk-UA" w:eastAsia="uk-UA"/>
              </w:rPr>
              <w:t>№ п/п</w:t>
            </w:r>
          </w:p>
        </w:tc>
        <w:tc>
          <w:tcPr>
            <w:tcW w:w="991" w:type="dxa"/>
            <w:tcBorders>
              <w:top w:val="single" w:sz="4" w:space="0" w:color="auto"/>
              <w:left w:val="single" w:sz="4" w:space="0" w:color="auto"/>
              <w:bottom w:val="single" w:sz="4" w:space="0" w:color="auto"/>
              <w:right w:val="single" w:sz="4" w:space="0" w:color="auto"/>
            </w:tcBorders>
            <w:hideMark/>
          </w:tcPr>
          <w:p w14:paraId="5CCA9C7D" w14:textId="77777777" w:rsidR="00CD29C5" w:rsidRDefault="00CD29C5" w:rsidP="00250780">
            <w:pPr>
              <w:jc w:val="center"/>
              <w:rPr>
                <w:b/>
                <w:sz w:val="18"/>
                <w:szCs w:val="18"/>
                <w:lang w:val="uk-UA" w:eastAsia="uk-UA"/>
              </w:rPr>
            </w:pPr>
            <w:r>
              <w:rPr>
                <w:b/>
                <w:sz w:val="18"/>
                <w:szCs w:val="18"/>
                <w:lang w:val="uk-UA" w:eastAsia="uk-UA"/>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hideMark/>
          </w:tcPr>
          <w:p w14:paraId="63E252C8" w14:textId="77777777" w:rsidR="00CD29C5" w:rsidRDefault="00CD29C5" w:rsidP="00250780">
            <w:pPr>
              <w:jc w:val="center"/>
              <w:rPr>
                <w:b/>
                <w:sz w:val="18"/>
                <w:szCs w:val="18"/>
                <w:lang w:val="uk-UA" w:eastAsia="uk-UA"/>
              </w:rPr>
            </w:pPr>
            <w:r>
              <w:rPr>
                <w:b/>
                <w:sz w:val="18"/>
                <w:szCs w:val="18"/>
                <w:lang w:val="uk-UA" w:eastAsia="uk-UA"/>
              </w:rPr>
              <w:t>Продукція залізничного призначення</w:t>
            </w:r>
          </w:p>
        </w:tc>
        <w:tc>
          <w:tcPr>
            <w:tcW w:w="851" w:type="dxa"/>
            <w:tcBorders>
              <w:top w:val="single" w:sz="4" w:space="0" w:color="auto"/>
              <w:left w:val="single" w:sz="4" w:space="0" w:color="auto"/>
              <w:bottom w:val="single" w:sz="4" w:space="0" w:color="auto"/>
              <w:right w:val="single" w:sz="4" w:space="0" w:color="auto"/>
            </w:tcBorders>
            <w:hideMark/>
          </w:tcPr>
          <w:p w14:paraId="7C8EA7A8" w14:textId="77777777" w:rsidR="00CD29C5" w:rsidRDefault="00CD29C5" w:rsidP="00250780">
            <w:pPr>
              <w:jc w:val="center"/>
              <w:rPr>
                <w:b/>
                <w:sz w:val="18"/>
                <w:szCs w:val="18"/>
                <w:lang w:val="uk-UA" w:eastAsia="uk-UA"/>
              </w:rPr>
            </w:pPr>
            <w:r>
              <w:rPr>
                <w:b/>
                <w:sz w:val="18"/>
                <w:szCs w:val="18"/>
                <w:lang w:val="uk-UA" w:eastAsia="uk-UA"/>
              </w:rPr>
              <w:t>Вимоги щодо надання підтверджуючих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07C2D28B" w14:textId="77777777" w:rsidR="00CD29C5" w:rsidRDefault="00CD29C5" w:rsidP="00250780">
            <w:pPr>
              <w:jc w:val="center"/>
              <w:rPr>
                <w:b/>
                <w:sz w:val="18"/>
                <w:szCs w:val="18"/>
                <w:lang w:val="uk-UA" w:eastAsia="uk-UA"/>
              </w:rPr>
            </w:pPr>
            <w:r>
              <w:rPr>
                <w:b/>
                <w:sz w:val="18"/>
                <w:szCs w:val="18"/>
                <w:lang w:val="uk-UA" w:eastAsia="uk-UA"/>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hideMark/>
          </w:tcPr>
          <w:p w14:paraId="5813D15F" w14:textId="77777777" w:rsidR="00CD29C5" w:rsidRDefault="00CD29C5" w:rsidP="00250780">
            <w:pPr>
              <w:jc w:val="center"/>
              <w:rPr>
                <w:b/>
                <w:sz w:val="18"/>
                <w:szCs w:val="18"/>
                <w:lang w:val="uk-UA" w:eastAsia="uk-UA"/>
              </w:rPr>
            </w:pPr>
            <w:r>
              <w:rPr>
                <w:b/>
                <w:sz w:val="18"/>
                <w:szCs w:val="18"/>
                <w:lang w:val="uk-UA" w:eastAsia="uk-UA"/>
              </w:rPr>
              <w:t>Підлягає оцінці відповідності вимогам технічних 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0B54102B" w14:textId="77777777" w:rsidR="00CD29C5" w:rsidRDefault="00CD29C5" w:rsidP="00250780">
            <w:pPr>
              <w:jc w:val="center"/>
              <w:rPr>
                <w:b/>
                <w:sz w:val="18"/>
                <w:szCs w:val="18"/>
                <w:lang w:val="uk-UA" w:eastAsia="uk-UA"/>
              </w:rPr>
            </w:pPr>
            <w:r>
              <w:rPr>
                <w:b/>
                <w:sz w:val="18"/>
                <w:szCs w:val="18"/>
                <w:lang w:val="uk-UA" w:eastAsia="uk-UA"/>
              </w:rPr>
              <w:t>Технічний регламент</w:t>
            </w:r>
          </w:p>
        </w:tc>
        <w:tc>
          <w:tcPr>
            <w:tcW w:w="1276" w:type="dxa"/>
            <w:tcBorders>
              <w:top w:val="single" w:sz="4" w:space="0" w:color="auto"/>
              <w:left w:val="single" w:sz="4" w:space="0" w:color="auto"/>
              <w:bottom w:val="single" w:sz="4" w:space="0" w:color="auto"/>
              <w:right w:val="single" w:sz="4" w:space="0" w:color="auto"/>
            </w:tcBorders>
            <w:hideMark/>
          </w:tcPr>
          <w:p w14:paraId="32FCEF41" w14:textId="77777777" w:rsidR="00CD29C5" w:rsidRDefault="00CD29C5" w:rsidP="00250780">
            <w:pPr>
              <w:jc w:val="center"/>
              <w:rPr>
                <w:b/>
                <w:sz w:val="18"/>
                <w:szCs w:val="18"/>
                <w:lang w:val="uk-UA" w:eastAsia="uk-UA"/>
              </w:rPr>
            </w:pPr>
            <w:r>
              <w:rPr>
                <w:b/>
                <w:sz w:val="18"/>
                <w:szCs w:val="18"/>
                <w:lang w:val="uk-UA" w:eastAsia="uk-UA"/>
              </w:rPr>
              <w:t>Продукція, яка підлягає оцінці відповідності вимогам законодавства</w:t>
            </w:r>
          </w:p>
        </w:tc>
        <w:tc>
          <w:tcPr>
            <w:tcW w:w="1134" w:type="dxa"/>
            <w:tcBorders>
              <w:top w:val="single" w:sz="4" w:space="0" w:color="auto"/>
              <w:left w:val="single" w:sz="4" w:space="0" w:color="auto"/>
              <w:bottom w:val="single" w:sz="4" w:space="0" w:color="auto"/>
              <w:right w:val="single" w:sz="4" w:space="0" w:color="auto"/>
            </w:tcBorders>
            <w:hideMark/>
          </w:tcPr>
          <w:p w14:paraId="2C735BD8" w14:textId="77777777" w:rsidR="00CD29C5" w:rsidRDefault="00CD29C5" w:rsidP="00250780">
            <w:pPr>
              <w:jc w:val="center"/>
              <w:rPr>
                <w:b/>
                <w:sz w:val="18"/>
                <w:szCs w:val="18"/>
                <w:lang w:val="uk-UA" w:eastAsia="uk-UA"/>
              </w:rPr>
            </w:pPr>
            <w:r>
              <w:rPr>
                <w:b/>
                <w:sz w:val="18"/>
                <w:szCs w:val="18"/>
                <w:lang w:val="uk-UA" w:eastAsia="uk-UA"/>
              </w:rPr>
              <w:t>Продукція, щодо якої виробник проводить добровільну оцінку відповідності заявленим вимогам</w:t>
            </w:r>
          </w:p>
        </w:tc>
      </w:tr>
      <w:tr w:rsidR="0051075D" w14:paraId="464AE140" w14:textId="77777777" w:rsidTr="00193100">
        <w:tc>
          <w:tcPr>
            <w:tcW w:w="535" w:type="dxa"/>
            <w:tcBorders>
              <w:top w:val="single" w:sz="4" w:space="0" w:color="auto"/>
              <w:left w:val="single" w:sz="4" w:space="0" w:color="auto"/>
              <w:bottom w:val="single" w:sz="4" w:space="0" w:color="auto"/>
              <w:right w:val="single" w:sz="4" w:space="0" w:color="auto"/>
            </w:tcBorders>
            <w:hideMark/>
          </w:tcPr>
          <w:p w14:paraId="22F41D46" w14:textId="19A31EE2" w:rsidR="0051075D" w:rsidRDefault="0051075D" w:rsidP="00250780">
            <w:pPr>
              <w:jc w:val="center"/>
              <w:rPr>
                <w:sz w:val="20"/>
                <w:szCs w:val="20"/>
                <w:lang w:val="uk-UA" w:eastAsia="uk-UA"/>
              </w:rPr>
            </w:pPr>
            <w:r>
              <w:rPr>
                <w:sz w:val="20"/>
                <w:szCs w:val="20"/>
                <w:lang w:val="uk-UA" w:eastAsia="uk-UA"/>
              </w:rPr>
              <w:t>1</w:t>
            </w:r>
          </w:p>
        </w:tc>
        <w:tc>
          <w:tcPr>
            <w:tcW w:w="991" w:type="dxa"/>
            <w:tcBorders>
              <w:top w:val="single" w:sz="4" w:space="0" w:color="auto"/>
              <w:left w:val="single" w:sz="4" w:space="0" w:color="auto"/>
              <w:bottom w:val="single" w:sz="4" w:space="0" w:color="auto"/>
              <w:right w:val="single" w:sz="4" w:space="0" w:color="auto"/>
            </w:tcBorders>
            <w:vAlign w:val="center"/>
            <w:hideMark/>
          </w:tcPr>
          <w:p w14:paraId="0A13D854" w14:textId="789A4CFF" w:rsidR="0051075D" w:rsidRDefault="0051075D" w:rsidP="00250780">
            <w:pPr>
              <w:rPr>
                <w:sz w:val="20"/>
                <w:szCs w:val="20"/>
                <w:lang w:val="uk-UA" w:eastAsia="uk-UA"/>
              </w:rPr>
            </w:pPr>
            <w:r>
              <w:rPr>
                <w:rFonts w:ascii="Times New Roman" w:hAnsi="Times New Roman" w:cs="Times New Roman"/>
                <w:sz w:val="20"/>
                <w:szCs w:val="22"/>
                <w:lang w:val="uk-UA"/>
              </w:rPr>
              <w:t>Кутик 100х100х7 ст.09Г2С (12 метрів)</w:t>
            </w:r>
          </w:p>
        </w:tc>
        <w:tc>
          <w:tcPr>
            <w:tcW w:w="992" w:type="dxa"/>
            <w:tcBorders>
              <w:top w:val="single" w:sz="4" w:space="0" w:color="auto"/>
              <w:left w:val="single" w:sz="4" w:space="0" w:color="auto"/>
              <w:bottom w:val="single" w:sz="4" w:space="0" w:color="auto"/>
              <w:right w:val="single" w:sz="4" w:space="0" w:color="auto"/>
            </w:tcBorders>
            <w:hideMark/>
          </w:tcPr>
          <w:p w14:paraId="365ED673" w14:textId="77777777" w:rsidR="0051075D" w:rsidRDefault="0051075D" w:rsidP="00250780">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6F55BBA3" w14:textId="77777777" w:rsidR="0051075D" w:rsidRDefault="0051075D" w:rsidP="00250780">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470C4F74" w14:textId="77777777"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3E50FCEB" w14:textId="77777777"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44038CCD" w14:textId="77777777" w:rsidR="0051075D" w:rsidRDefault="0051075D" w:rsidP="00250780">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573D6E9C" w14:textId="77777777"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6AC94437" w14:textId="77777777" w:rsidR="0051075D" w:rsidRDefault="0051075D" w:rsidP="00250780">
            <w:pPr>
              <w:jc w:val="center"/>
              <w:rPr>
                <w:sz w:val="20"/>
                <w:szCs w:val="20"/>
                <w:lang w:val="uk-UA" w:eastAsia="uk-UA"/>
              </w:rPr>
            </w:pPr>
            <w:r>
              <w:rPr>
                <w:sz w:val="20"/>
                <w:szCs w:val="20"/>
                <w:lang w:val="uk-UA" w:eastAsia="uk-UA"/>
              </w:rPr>
              <w:t>+</w:t>
            </w:r>
          </w:p>
        </w:tc>
      </w:tr>
      <w:tr w:rsidR="0051075D" w14:paraId="09661B0B" w14:textId="77777777" w:rsidTr="00193100">
        <w:tc>
          <w:tcPr>
            <w:tcW w:w="535" w:type="dxa"/>
            <w:tcBorders>
              <w:top w:val="single" w:sz="4" w:space="0" w:color="auto"/>
              <w:left w:val="single" w:sz="4" w:space="0" w:color="auto"/>
              <w:bottom w:val="single" w:sz="4" w:space="0" w:color="auto"/>
              <w:right w:val="single" w:sz="4" w:space="0" w:color="auto"/>
            </w:tcBorders>
          </w:tcPr>
          <w:p w14:paraId="0022EC77" w14:textId="26CE8F95" w:rsidR="0051075D" w:rsidRDefault="0051075D" w:rsidP="00250780">
            <w:pPr>
              <w:jc w:val="center"/>
              <w:rPr>
                <w:sz w:val="20"/>
                <w:szCs w:val="20"/>
                <w:lang w:val="uk-UA" w:eastAsia="uk-UA"/>
              </w:rPr>
            </w:pPr>
            <w:r>
              <w:rPr>
                <w:sz w:val="20"/>
                <w:szCs w:val="20"/>
                <w:lang w:val="uk-UA" w:eastAsia="uk-UA"/>
              </w:rPr>
              <w:t>2</w:t>
            </w:r>
          </w:p>
        </w:tc>
        <w:tc>
          <w:tcPr>
            <w:tcW w:w="991" w:type="dxa"/>
            <w:tcBorders>
              <w:top w:val="single" w:sz="4" w:space="0" w:color="auto"/>
              <w:left w:val="single" w:sz="4" w:space="0" w:color="auto"/>
              <w:bottom w:val="single" w:sz="4" w:space="0" w:color="auto"/>
              <w:right w:val="single" w:sz="4" w:space="0" w:color="auto"/>
            </w:tcBorders>
            <w:vAlign w:val="center"/>
          </w:tcPr>
          <w:p w14:paraId="56D632A6" w14:textId="62BA7A22" w:rsidR="0051075D" w:rsidRDefault="0051075D" w:rsidP="00250780">
            <w:pPr>
              <w:rPr>
                <w:sz w:val="20"/>
                <w:szCs w:val="20"/>
                <w:lang w:val="uk-UA" w:eastAsia="uk-UA"/>
              </w:rPr>
            </w:pPr>
            <w:r>
              <w:rPr>
                <w:rFonts w:ascii="Times New Roman" w:hAnsi="Times New Roman" w:cs="Times New Roman"/>
                <w:sz w:val="20"/>
                <w:szCs w:val="22"/>
                <w:lang w:val="uk-UA"/>
              </w:rPr>
              <w:t>Кутик 100х100х10 ст.09Г2</w:t>
            </w:r>
            <w:r>
              <w:rPr>
                <w:rFonts w:ascii="Times New Roman" w:hAnsi="Times New Roman" w:cs="Times New Roman"/>
                <w:sz w:val="20"/>
                <w:szCs w:val="22"/>
                <w:lang w:val="uk-UA"/>
              </w:rPr>
              <w:t>С (12 метрів)</w:t>
            </w:r>
          </w:p>
        </w:tc>
        <w:tc>
          <w:tcPr>
            <w:tcW w:w="992" w:type="dxa"/>
            <w:tcBorders>
              <w:top w:val="single" w:sz="4" w:space="0" w:color="auto"/>
              <w:left w:val="single" w:sz="4" w:space="0" w:color="auto"/>
              <w:bottom w:val="single" w:sz="4" w:space="0" w:color="auto"/>
              <w:right w:val="single" w:sz="4" w:space="0" w:color="auto"/>
            </w:tcBorders>
          </w:tcPr>
          <w:p w14:paraId="7261E498" w14:textId="2D76FD5B" w:rsidR="0051075D" w:rsidRDefault="0051075D" w:rsidP="00250780">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tcPr>
          <w:p w14:paraId="308B7EBA" w14:textId="48E25C88" w:rsidR="0051075D" w:rsidRDefault="0051075D" w:rsidP="00250780">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tcPr>
          <w:p w14:paraId="7289616F" w14:textId="2F04AA65"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tcPr>
          <w:p w14:paraId="1B6BE48D" w14:textId="6109A820"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tcPr>
          <w:p w14:paraId="152BA734" w14:textId="4A83BFBF" w:rsidR="0051075D" w:rsidRDefault="0051075D" w:rsidP="00250780">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tcPr>
          <w:p w14:paraId="46BA2F49" w14:textId="3B5FE059" w:rsidR="0051075D" w:rsidRDefault="0051075D" w:rsidP="00250780">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tcPr>
          <w:p w14:paraId="6FB4E29A" w14:textId="682E87A1" w:rsidR="0051075D" w:rsidRDefault="0051075D" w:rsidP="00250780">
            <w:pPr>
              <w:jc w:val="center"/>
              <w:rPr>
                <w:sz w:val="20"/>
                <w:szCs w:val="20"/>
                <w:lang w:val="uk-UA" w:eastAsia="uk-UA"/>
              </w:rPr>
            </w:pPr>
            <w:r>
              <w:rPr>
                <w:sz w:val="20"/>
                <w:szCs w:val="20"/>
                <w:lang w:val="uk-UA" w:eastAsia="uk-UA"/>
              </w:rPr>
              <w:t>+</w:t>
            </w:r>
          </w:p>
        </w:tc>
      </w:tr>
    </w:tbl>
    <w:p w14:paraId="41B0240D" w14:textId="77777777" w:rsidR="00CD29C5" w:rsidRDefault="00CD29C5" w:rsidP="00CD29C5">
      <w:pPr>
        <w:rPr>
          <w:lang w:val="uk-UA"/>
        </w:rPr>
      </w:pPr>
    </w:p>
    <w:p w14:paraId="1D63CB5C" w14:textId="77777777" w:rsidR="00CD29C5" w:rsidRDefault="00CD29C5" w:rsidP="00CD29C5">
      <w:pPr>
        <w:rPr>
          <w:lang w:val="uk-UA"/>
        </w:rPr>
      </w:pPr>
    </w:p>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75088B" w14:textId="2B19D190" w:rsidR="00533E82" w:rsidRPr="009C077B" w:rsidRDefault="00B962E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51075D"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9"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20"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___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lastRenderedPageBreak/>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8C226" w14:textId="77777777" w:rsidR="004419BE" w:rsidRDefault="004419BE">
      <w:r>
        <w:separator/>
      </w:r>
    </w:p>
  </w:endnote>
  <w:endnote w:type="continuationSeparator" w:id="0">
    <w:p w14:paraId="0C8E4C23" w14:textId="77777777" w:rsidR="004419BE" w:rsidRDefault="004419BE">
      <w:r>
        <w:continuationSeparator/>
      </w:r>
    </w:p>
  </w:endnote>
  <w:endnote w:type="continuationNotice" w:id="1">
    <w:p w14:paraId="3AC4C3AB" w14:textId="77777777" w:rsidR="004419BE" w:rsidRDefault="00441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2C4073" w:rsidRDefault="002C4073"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2C4073" w:rsidRDefault="002C4073"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2C4073" w:rsidRPr="00BF5108" w:rsidRDefault="002C4073"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4FC33" w14:textId="77777777" w:rsidR="004419BE" w:rsidRDefault="004419BE">
      <w:r>
        <w:separator/>
      </w:r>
    </w:p>
  </w:footnote>
  <w:footnote w:type="continuationSeparator" w:id="0">
    <w:p w14:paraId="2D88817D" w14:textId="77777777" w:rsidR="004419BE" w:rsidRDefault="004419BE">
      <w:r>
        <w:continuationSeparator/>
      </w:r>
    </w:p>
  </w:footnote>
  <w:footnote w:type="continuationNotice" w:id="1">
    <w:p w14:paraId="6A0F8A54" w14:textId="77777777" w:rsidR="004419BE" w:rsidRDefault="004419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2C4073" w:rsidRDefault="002C4073">
        <w:pPr>
          <w:pStyle w:val="aff2"/>
          <w:jc w:val="center"/>
        </w:pPr>
        <w:r>
          <w:fldChar w:fldCharType="begin"/>
        </w:r>
        <w:r>
          <w:instrText>PAGE   \* MERGEFORMAT</w:instrText>
        </w:r>
        <w:r>
          <w:fldChar w:fldCharType="separate"/>
        </w:r>
        <w:r w:rsidR="00643109">
          <w:rPr>
            <w:noProof/>
          </w:rPr>
          <w:t>21</w:t>
        </w:r>
        <w:r>
          <w:fldChar w:fldCharType="end"/>
        </w:r>
      </w:p>
    </w:sdtContent>
  </w:sdt>
  <w:p w14:paraId="23C663CF" w14:textId="77777777" w:rsidR="002C4073" w:rsidRDefault="002C4073">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2C4073" w:rsidRDefault="004419BE">
        <w:pPr>
          <w:pStyle w:val="aff2"/>
          <w:jc w:val="center"/>
        </w:pPr>
      </w:p>
    </w:sdtContent>
  </w:sdt>
  <w:p w14:paraId="589EC606" w14:textId="77777777" w:rsidR="002C4073" w:rsidRDefault="002C4073">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387"/>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07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2F3"/>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9BE"/>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85F"/>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075D"/>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109"/>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987"/>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25BD"/>
    <w:rsid w:val="00FC37C6"/>
    <w:rsid w:val="00FC538A"/>
    <w:rsid w:val="00FC5424"/>
    <w:rsid w:val="00FC54F8"/>
    <w:rsid w:val="00FC56A2"/>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3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3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hyperlink" Target="https://zakon.rada.gov.ua/laws/show/1029-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96BE-7AD2-4254-8108-FFCE15EBBA59}">
  <ds:schemaRefs>
    <ds:schemaRef ds:uri="http://schemas.openxmlformats.org/officeDocument/2006/bibliography"/>
  </ds:schemaRefs>
</ds:datastoreItem>
</file>

<file path=customXml/itemProps2.xml><?xml version="1.0" encoding="utf-8"?>
<ds:datastoreItem xmlns:ds="http://schemas.openxmlformats.org/officeDocument/2006/customXml" ds:itemID="{7452C054-A20E-4D9A-8E15-DE23B492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35</Pages>
  <Words>12041</Words>
  <Characters>68637</Characters>
  <Application>Microsoft Office Word</Application>
  <DocSecurity>0</DocSecurity>
  <Lines>571</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80517</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45</cp:revision>
  <cp:lastPrinted>2023-07-05T08:40:00Z</cp:lastPrinted>
  <dcterms:created xsi:type="dcterms:W3CDTF">2023-06-21T11:17:00Z</dcterms:created>
  <dcterms:modified xsi:type="dcterms:W3CDTF">2023-09-13T11:10:00Z</dcterms:modified>
</cp:coreProperties>
</file>