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05F" w:rsidRDefault="004041F9">
      <w:pPr>
        <w:jc w:val="right"/>
        <w:rPr>
          <w:b/>
          <w:bCs/>
        </w:rPr>
      </w:pPr>
      <w:r>
        <w:rPr>
          <w:b/>
          <w:bCs/>
        </w:rPr>
        <w:t>Додаток 2</w:t>
      </w:r>
      <w:r w:rsidR="00FF0EE7">
        <w:rPr>
          <w:b/>
          <w:bCs/>
        </w:rPr>
        <w:t xml:space="preserve"> </w:t>
      </w:r>
    </w:p>
    <w:p w:rsidR="00D1705F" w:rsidRDefault="00FF0EE7">
      <w:pPr>
        <w:jc w:val="right"/>
        <w:rPr>
          <w:b/>
          <w:bCs/>
        </w:rPr>
      </w:pPr>
      <w:r>
        <w:rPr>
          <w:b/>
          <w:lang w:eastAsia="ru-RU"/>
        </w:rPr>
        <w:t>до тендерної документації</w:t>
      </w:r>
    </w:p>
    <w:p w:rsidR="00D1705F" w:rsidRDefault="00D1705F">
      <w:pPr>
        <w:jc w:val="right"/>
        <w:rPr>
          <w:b/>
          <w:bCs/>
          <w:lang w:val="ru-RU"/>
        </w:rPr>
      </w:pPr>
    </w:p>
    <w:p w:rsidR="000F3700" w:rsidRDefault="000F3700" w:rsidP="000F3700">
      <w:pPr>
        <w:ind w:left="720"/>
        <w:jc w:val="both"/>
        <w:rPr>
          <w:rFonts w:ascii="Liberation Serif" w:eastAsia="Noto Sans CJK SC Regular" w:hAnsi="Liberation Serif" w:cs="Lohit Devanagari"/>
          <w:kern w:val="2"/>
          <w:lang w:val="ru-RU" w:bidi="hi-IN"/>
        </w:rPr>
      </w:pPr>
    </w:p>
    <w:p w:rsidR="000F3700" w:rsidRDefault="000F3700" w:rsidP="000F3700">
      <w:pPr>
        <w:ind w:left="567"/>
        <w:jc w:val="center"/>
        <w:rPr>
          <w:rFonts w:eastAsia="Calibri"/>
          <w:b/>
        </w:rPr>
      </w:pPr>
      <w:bookmarkStart w:id="0" w:name="_Hlk131084363"/>
      <w:r>
        <w:rPr>
          <w:rFonts w:eastAsia="Calibri"/>
          <w:b/>
        </w:rPr>
        <w:t>МЕДИКО-ТЕХНІЧНІ ВИМОГИ</w:t>
      </w:r>
      <w:r w:rsidR="00353AE3">
        <w:rPr>
          <w:rFonts w:eastAsia="Calibri"/>
          <w:b/>
        </w:rPr>
        <w:t xml:space="preserve"> </w:t>
      </w:r>
      <w:r w:rsidR="007061A2">
        <w:rPr>
          <w:rFonts w:eastAsia="Calibri"/>
          <w:b/>
        </w:rPr>
        <w:t xml:space="preserve">до </w:t>
      </w:r>
      <w:r w:rsidR="00622821">
        <w:rPr>
          <w:rFonts w:eastAsia="Calibri"/>
          <w:b/>
        </w:rPr>
        <w:t>Л</w:t>
      </w:r>
      <w:r w:rsidR="007061A2">
        <w:rPr>
          <w:rFonts w:eastAsia="Calibri"/>
          <w:b/>
        </w:rPr>
        <w:t>оту</w:t>
      </w:r>
      <w:r w:rsidR="00353AE3">
        <w:rPr>
          <w:rFonts w:eastAsia="Calibri"/>
          <w:b/>
        </w:rPr>
        <w:t xml:space="preserve"> № 1 </w:t>
      </w:r>
      <w:bookmarkEnd w:id="0"/>
      <w:r w:rsidR="00353AE3">
        <w:rPr>
          <w:rFonts w:eastAsia="Calibri"/>
          <w:b/>
        </w:rPr>
        <w:t>– Катет</w:t>
      </w:r>
      <w:r w:rsidR="00744784">
        <w:rPr>
          <w:rFonts w:eastAsia="Calibri"/>
          <w:b/>
        </w:rPr>
        <w:t>е</w:t>
      </w:r>
      <w:r w:rsidR="00353AE3">
        <w:rPr>
          <w:rFonts w:eastAsia="Calibri"/>
          <w:b/>
        </w:rPr>
        <w:t>ри, голки</w:t>
      </w:r>
    </w:p>
    <w:p w:rsidR="000F3700" w:rsidRDefault="000F3700" w:rsidP="000F3700">
      <w:pPr>
        <w:ind w:left="567"/>
        <w:jc w:val="center"/>
        <w:rPr>
          <w:rFonts w:eastAsia="Calibri"/>
          <w:b/>
        </w:rPr>
      </w:pPr>
      <w:r>
        <w:rPr>
          <w:rFonts w:eastAsia="Calibri"/>
          <w:b/>
          <w:bCs/>
        </w:rPr>
        <w:t>до предмета закупівлі:</w:t>
      </w:r>
    </w:p>
    <w:p w:rsidR="00D1705F" w:rsidRDefault="000F3700" w:rsidP="000F3700">
      <w:pPr>
        <w:jc w:val="center"/>
        <w:rPr>
          <w:b/>
          <w:color w:val="000000"/>
        </w:rPr>
      </w:pPr>
      <w:r>
        <w:rPr>
          <w:rFonts w:eastAsia="Calibri"/>
          <w:b/>
        </w:rPr>
        <w:t>КОД ЄЗС ДК 021:2015 - 33140000-3 Медичні матеріали (МЕДИЧНІ МАТЕРІАЛИ РІЗНІ)</w:t>
      </w:r>
    </w:p>
    <w:p w:rsidR="00D1705F" w:rsidRDefault="00D1705F">
      <w:pPr>
        <w:jc w:val="center"/>
        <w:rPr>
          <w:b/>
          <w:color w:val="000000"/>
        </w:rPr>
      </w:pPr>
    </w:p>
    <w:p w:rsidR="00D1705F" w:rsidRPr="002039DA" w:rsidRDefault="00FF0EE7">
      <w:pPr>
        <w:pStyle w:val="a5"/>
        <w:tabs>
          <w:tab w:val="left" w:pos="0"/>
        </w:tabs>
        <w:spacing w:line="240" w:lineRule="atLeast"/>
        <w:ind w:left="0" w:right="-81" w:firstLine="0"/>
        <w:rPr>
          <w:b/>
          <w:bCs/>
          <w:szCs w:val="24"/>
        </w:rPr>
      </w:pPr>
      <w:bookmarkStart w:id="1" w:name="_Hlk131145314"/>
      <w:r w:rsidRPr="002039DA">
        <w:rPr>
          <w:szCs w:val="24"/>
          <w:lang w:eastAsia="ar-SA"/>
        </w:rPr>
        <w:t xml:space="preserve">1. </w:t>
      </w:r>
      <w:r w:rsidRPr="002039DA">
        <w:rPr>
          <w:szCs w:val="24"/>
        </w:rPr>
        <w:t xml:space="preserve">Запропоновані вироби повинні бути дозволені до застосування на території України, що свідчить про їх наявність в Державному реєстрі медичної техніки та виробів медичного призначення </w:t>
      </w:r>
      <w:r w:rsidRPr="0031555E">
        <w:rPr>
          <w:b/>
          <w:bCs/>
          <w:szCs w:val="24"/>
        </w:rPr>
        <w:t>(надати гарантійний лист в довільній формі</w:t>
      </w:r>
      <w:r w:rsidRPr="002039DA">
        <w:rPr>
          <w:szCs w:val="24"/>
        </w:rPr>
        <w:t>).</w:t>
      </w:r>
    </w:p>
    <w:p w:rsidR="00D1705F" w:rsidRPr="002039DA" w:rsidRDefault="00FF0EE7">
      <w:pPr>
        <w:pStyle w:val="a5"/>
        <w:tabs>
          <w:tab w:val="left" w:pos="0"/>
        </w:tabs>
        <w:spacing w:line="240" w:lineRule="atLeast"/>
        <w:ind w:left="0" w:right="-81" w:firstLine="0"/>
        <w:rPr>
          <w:szCs w:val="24"/>
          <w:lang w:eastAsia="ar-SA"/>
        </w:rPr>
      </w:pPr>
      <w:r w:rsidRPr="002039DA">
        <w:rPr>
          <w:szCs w:val="24"/>
          <w:lang w:eastAsia="ar-SA"/>
        </w:rPr>
        <w:t>2. Постачальник не має права поставляти Товар з наявністю дефектів та після закінчення терміну державної реєстрації. Учасник повинен забезпечувати належні умови зберігання та транспортування Товару</w:t>
      </w:r>
      <w:r w:rsidRPr="002039DA">
        <w:rPr>
          <w:szCs w:val="24"/>
        </w:rPr>
        <w:t xml:space="preserve"> (</w:t>
      </w:r>
      <w:r w:rsidRPr="00A9614E">
        <w:rPr>
          <w:b/>
          <w:bCs/>
          <w:szCs w:val="24"/>
        </w:rPr>
        <w:t>надати гарантійний лист в довільній формі</w:t>
      </w:r>
      <w:r w:rsidRPr="002039DA">
        <w:rPr>
          <w:szCs w:val="24"/>
        </w:rPr>
        <w:t>).</w:t>
      </w:r>
    </w:p>
    <w:p w:rsidR="00D1705F" w:rsidRPr="002039DA" w:rsidRDefault="00FF0EE7">
      <w:pPr>
        <w:pStyle w:val="a5"/>
        <w:tabs>
          <w:tab w:val="left" w:pos="0"/>
        </w:tabs>
        <w:spacing w:line="240" w:lineRule="atLeast"/>
        <w:ind w:left="0" w:right="-81" w:firstLine="0"/>
        <w:rPr>
          <w:szCs w:val="24"/>
          <w:lang w:eastAsia="ar-SA"/>
        </w:rPr>
      </w:pPr>
      <w:r w:rsidRPr="002039DA">
        <w:rPr>
          <w:szCs w:val="24"/>
          <w:lang w:eastAsia="ar-SA"/>
        </w:rPr>
        <w:t>3</w:t>
      </w:r>
      <w:r w:rsidRPr="002039DA">
        <w:rPr>
          <w:b/>
          <w:szCs w:val="24"/>
          <w:lang w:eastAsia="ar-SA"/>
        </w:rPr>
        <w:t xml:space="preserve">. </w:t>
      </w:r>
      <w:r w:rsidRPr="002039DA">
        <w:rPr>
          <w:szCs w:val="24"/>
          <w:lang w:eastAsia="ar-SA"/>
        </w:rPr>
        <w:t>Учасник надає  оригінал інформаційної  довідки на фірмовому бланку (у разі наявності), складену в довільній формі, про гарантії надання сертифікатів якості та реєстраційних посвідчень на товар, що пропонується, згідно  медико-технічних  вимог  при кожній  поставці товару</w:t>
      </w:r>
      <w:r w:rsidRPr="002039DA">
        <w:rPr>
          <w:szCs w:val="24"/>
        </w:rPr>
        <w:t xml:space="preserve"> </w:t>
      </w:r>
      <w:r w:rsidRPr="005107BA">
        <w:rPr>
          <w:b/>
          <w:bCs/>
          <w:szCs w:val="24"/>
        </w:rPr>
        <w:t>(надати гарантійний лист в довільній формі).</w:t>
      </w:r>
    </w:p>
    <w:p w:rsidR="00D1705F" w:rsidRDefault="00FF0EE7">
      <w:pPr>
        <w:pStyle w:val="a5"/>
        <w:tabs>
          <w:tab w:val="left" w:pos="0"/>
        </w:tabs>
        <w:spacing w:line="240" w:lineRule="atLeast"/>
        <w:ind w:left="0" w:right="-81" w:firstLine="0"/>
        <w:rPr>
          <w:b/>
          <w:bCs/>
          <w:szCs w:val="24"/>
        </w:rPr>
      </w:pPr>
      <w:r w:rsidRPr="002039DA">
        <w:rPr>
          <w:szCs w:val="24"/>
          <w:lang w:eastAsia="ar-SA"/>
        </w:rPr>
        <w:t>4. Ціни за одиницю товару запропоновані учасником повинні формуватись, згідно Постанови КМУ від 17.10.2008 р. №955 «Про заходи щодо стабілізації цін на лікарські засоби і вироби медичного призначення» зі змінами</w:t>
      </w:r>
      <w:r w:rsidRPr="002039DA">
        <w:rPr>
          <w:szCs w:val="24"/>
        </w:rPr>
        <w:t xml:space="preserve"> (</w:t>
      </w:r>
      <w:r w:rsidRPr="00310232">
        <w:rPr>
          <w:b/>
          <w:bCs/>
          <w:szCs w:val="24"/>
        </w:rPr>
        <w:t>надати гарантійний лист в довільній формі).</w:t>
      </w:r>
    </w:p>
    <w:bookmarkEnd w:id="1"/>
    <w:p w:rsidR="00B00B60" w:rsidRPr="00310232" w:rsidRDefault="00B00B60">
      <w:pPr>
        <w:pStyle w:val="a5"/>
        <w:tabs>
          <w:tab w:val="left" w:pos="0"/>
        </w:tabs>
        <w:spacing w:line="240" w:lineRule="atLeast"/>
        <w:ind w:left="0" w:right="-81" w:firstLine="0"/>
        <w:rPr>
          <w:b/>
          <w:bCs/>
          <w:szCs w:val="24"/>
          <w:lang w:eastAsia="ar-SA"/>
        </w:rPr>
      </w:pPr>
      <w:r>
        <w:rPr>
          <w:b/>
          <w:bCs/>
          <w:szCs w:val="24"/>
        </w:rPr>
        <w:t>5</w:t>
      </w:r>
      <w:r w:rsidRPr="00B00B60">
        <w:rPr>
          <w:szCs w:val="24"/>
        </w:rPr>
        <w:t>. Надати заповнену таблицю 2. Медико-технічні вимоги</w:t>
      </w:r>
    </w:p>
    <w:p w:rsidR="00D1705F" w:rsidRDefault="00D1705F">
      <w:pPr>
        <w:ind w:left="720"/>
        <w:jc w:val="both"/>
        <w:rPr>
          <w:rFonts w:ascii="Liberation Serif" w:eastAsia="Noto Sans CJK SC Regular" w:hAnsi="Liberation Serif" w:cs="Lohit Devanagari"/>
          <w:kern w:val="2"/>
          <w:lang w:val="ru-RU" w:bidi="hi-IN"/>
        </w:rPr>
      </w:pPr>
    </w:p>
    <w:p w:rsidR="000F3700" w:rsidRPr="000F3700" w:rsidRDefault="00453F46" w:rsidP="000F3700">
      <w:pPr>
        <w:ind w:left="567"/>
        <w:rPr>
          <w:b/>
          <w:color w:val="000000"/>
        </w:rPr>
      </w:pPr>
      <w:r>
        <w:rPr>
          <w:b/>
          <w:color w:val="000000"/>
        </w:rPr>
        <w:t xml:space="preserve">Таблиця 1. </w:t>
      </w:r>
      <w:r w:rsidR="000F3700" w:rsidRPr="000F3700">
        <w:rPr>
          <w:b/>
          <w:color w:val="000000"/>
        </w:rPr>
        <w:t>Кількісні характеристики:</w:t>
      </w:r>
    </w:p>
    <w:p w:rsidR="000F3700" w:rsidRPr="000F3700" w:rsidRDefault="000F3700" w:rsidP="000F3700">
      <w:pPr>
        <w:ind w:left="567"/>
        <w:rPr>
          <w:b/>
          <w:color w:val="000000"/>
        </w:rPr>
      </w:pPr>
    </w:p>
    <w:tbl>
      <w:tblPr>
        <w:tblW w:w="9938" w:type="dxa"/>
        <w:tblInd w:w="93" w:type="dxa"/>
        <w:tblLook w:val="04A0" w:firstRow="1" w:lastRow="0" w:firstColumn="1" w:lastColumn="0" w:noHBand="0" w:noVBand="1"/>
      </w:tblPr>
      <w:tblGrid>
        <w:gridCol w:w="1115"/>
        <w:gridCol w:w="4107"/>
        <w:gridCol w:w="1520"/>
        <w:gridCol w:w="1574"/>
        <w:gridCol w:w="1622"/>
      </w:tblGrid>
      <w:tr w:rsidR="00E30F5E" w:rsidRPr="00A25AB2" w:rsidTr="00334C44">
        <w:trPr>
          <w:trHeight w:val="735"/>
        </w:trPr>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F5E" w:rsidRPr="00A25AB2" w:rsidRDefault="00E30F5E" w:rsidP="00A25AB2">
            <w:pPr>
              <w:rPr>
                <w:color w:val="000000"/>
              </w:rPr>
            </w:pPr>
            <w:r w:rsidRPr="00A25AB2">
              <w:rPr>
                <w:color w:val="000000"/>
              </w:rPr>
              <w:t>№п/п</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rsidR="00E30F5E" w:rsidRPr="00A25AB2" w:rsidRDefault="00E30F5E" w:rsidP="00A25AB2">
            <w:pPr>
              <w:rPr>
                <w:color w:val="000000"/>
              </w:rPr>
            </w:pPr>
            <w:r w:rsidRPr="00A25AB2">
              <w:rPr>
                <w:color w:val="000000"/>
              </w:rPr>
              <w:t>Найменування матеріалів</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30F5E" w:rsidRPr="00A25AB2" w:rsidRDefault="00E30F5E" w:rsidP="00A25AB2">
            <w:pPr>
              <w:rPr>
                <w:color w:val="000000"/>
              </w:rPr>
            </w:pPr>
            <w:r w:rsidRPr="00A25AB2">
              <w:rPr>
                <w:color w:val="000000"/>
              </w:rPr>
              <w:t>Одиниця виміру</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E30F5E" w:rsidRPr="00A25AB2" w:rsidRDefault="00E30F5E" w:rsidP="00A25AB2">
            <w:pPr>
              <w:rPr>
                <w:color w:val="000000"/>
              </w:rPr>
            </w:pPr>
            <w:r w:rsidRPr="00A25AB2">
              <w:rPr>
                <w:color w:val="000000"/>
              </w:rPr>
              <w:t xml:space="preserve">Кількість </w:t>
            </w:r>
          </w:p>
        </w:tc>
        <w:tc>
          <w:tcPr>
            <w:tcW w:w="1622" w:type="dxa"/>
            <w:tcBorders>
              <w:top w:val="single" w:sz="4" w:space="0" w:color="auto"/>
              <w:left w:val="nil"/>
              <w:bottom w:val="single" w:sz="4" w:space="0" w:color="auto"/>
              <w:right w:val="single" w:sz="4" w:space="0" w:color="auto"/>
            </w:tcBorders>
          </w:tcPr>
          <w:p w:rsidR="00E30F5E" w:rsidRDefault="00E30F5E" w:rsidP="00A25AB2">
            <w:pPr>
              <w:rPr>
                <w:color w:val="000000"/>
              </w:rPr>
            </w:pPr>
          </w:p>
          <w:p w:rsidR="00334C44" w:rsidRPr="00334C44" w:rsidRDefault="00334C44" w:rsidP="00A25AB2">
            <w:pPr>
              <w:rPr>
                <w:color w:val="000000"/>
                <w:lang w:val="en-US"/>
              </w:rPr>
            </w:pPr>
            <w:r>
              <w:rPr>
                <w:color w:val="000000"/>
              </w:rPr>
              <w:t>НК 024</w:t>
            </w:r>
            <w:r>
              <w:rPr>
                <w:color w:val="000000"/>
                <w:lang w:val="en-US"/>
              </w:rPr>
              <w:t>:2019</w:t>
            </w:r>
          </w:p>
        </w:tc>
      </w:tr>
      <w:tr w:rsidR="00E30F5E" w:rsidRPr="00A25AB2" w:rsidTr="00334C44">
        <w:trPr>
          <w:trHeight w:val="300"/>
        </w:trPr>
        <w:tc>
          <w:tcPr>
            <w:tcW w:w="1115" w:type="dxa"/>
            <w:tcBorders>
              <w:top w:val="nil"/>
              <w:left w:val="single" w:sz="4" w:space="0" w:color="auto"/>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lang w:val="ru-RU"/>
              </w:rPr>
            </w:pPr>
            <w:r>
              <w:rPr>
                <w:color w:val="000000"/>
                <w:sz w:val="22"/>
                <w:szCs w:val="22"/>
                <w:lang w:val="ru-RU"/>
              </w:rPr>
              <w:t>1</w:t>
            </w:r>
          </w:p>
        </w:tc>
        <w:tc>
          <w:tcPr>
            <w:tcW w:w="4107"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sz w:val="22"/>
                <w:szCs w:val="22"/>
              </w:rPr>
              <w:t>Катетер Фолея латексний, 2-ходовий, розмір Fr16</w:t>
            </w:r>
          </w:p>
        </w:tc>
        <w:tc>
          <w:tcPr>
            <w:tcW w:w="1520"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шт</w:t>
            </w:r>
          </w:p>
        </w:tc>
        <w:tc>
          <w:tcPr>
            <w:tcW w:w="1574" w:type="dxa"/>
            <w:tcBorders>
              <w:top w:val="nil"/>
              <w:left w:val="nil"/>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rPr>
            </w:pPr>
            <w:r>
              <w:rPr>
                <w:color w:val="000000"/>
                <w:sz w:val="22"/>
                <w:szCs w:val="22"/>
              </w:rPr>
              <w:t>200</w:t>
            </w:r>
          </w:p>
        </w:tc>
        <w:tc>
          <w:tcPr>
            <w:tcW w:w="1622" w:type="dxa"/>
            <w:tcBorders>
              <w:top w:val="nil"/>
              <w:left w:val="nil"/>
              <w:bottom w:val="single" w:sz="4" w:space="0" w:color="auto"/>
              <w:right w:val="single" w:sz="4" w:space="0" w:color="auto"/>
            </w:tcBorders>
          </w:tcPr>
          <w:p w:rsidR="00E30F5E" w:rsidRPr="006268EB" w:rsidRDefault="006268EB" w:rsidP="00874550">
            <w:pPr>
              <w:jc w:val="center"/>
              <w:rPr>
                <w:color w:val="000000"/>
                <w:sz w:val="22"/>
                <w:szCs w:val="22"/>
                <w:lang w:val="en-US"/>
              </w:rPr>
            </w:pPr>
            <w:r>
              <w:rPr>
                <w:color w:val="000000"/>
                <w:sz w:val="22"/>
                <w:szCs w:val="22"/>
                <w:lang w:val="en-US"/>
              </w:rPr>
              <w:t>34917</w:t>
            </w:r>
          </w:p>
        </w:tc>
      </w:tr>
      <w:tr w:rsidR="00E30F5E" w:rsidRPr="00A25AB2" w:rsidTr="00334C44">
        <w:trPr>
          <w:trHeight w:val="300"/>
        </w:trPr>
        <w:tc>
          <w:tcPr>
            <w:tcW w:w="1115" w:type="dxa"/>
            <w:tcBorders>
              <w:top w:val="nil"/>
              <w:left w:val="single" w:sz="4" w:space="0" w:color="auto"/>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lang w:val="ru-RU"/>
              </w:rPr>
            </w:pPr>
            <w:r>
              <w:rPr>
                <w:color w:val="000000"/>
                <w:sz w:val="22"/>
                <w:szCs w:val="22"/>
                <w:lang w:val="ru-RU"/>
              </w:rPr>
              <w:t>2</w:t>
            </w:r>
          </w:p>
        </w:tc>
        <w:tc>
          <w:tcPr>
            <w:tcW w:w="4107"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 xml:space="preserve"> Катетер Фолея латексний, 2-ходовий, розмір Fr18</w:t>
            </w:r>
          </w:p>
        </w:tc>
        <w:tc>
          <w:tcPr>
            <w:tcW w:w="1520"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шт</w:t>
            </w:r>
          </w:p>
        </w:tc>
        <w:tc>
          <w:tcPr>
            <w:tcW w:w="1574" w:type="dxa"/>
            <w:tcBorders>
              <w:top w:val="nil"/>
              <w:left w:val="nil"/>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rPr>
            </w:pPr>
            <w:r>
              <w:rPr>
                <w:color w:val="000000"/>
                <w:sz w:val="22"/>
                <w:szCs w:val="22"/>
              </w:rPr>
              <w:t>200</w:t>
            </w:r>
          </w:p>
        </w:tc>
        <w:tc>
          <w:tcPr>
            <w:tcW w:w="1622" w:type="dxa"/>
            <w:tcBorders>
              <w:top w:val="nil"/>
              <w:left w:val="nil"/>
              <w:bottom w:val="single" w:sz="4" w:space="0" w:color="auto"/>
              <w:right w:val="single" w:sz="4" w:space="0" w:color="auto"/>
            </w:tcBorders>
          </w:tcPr>
          <w:p w:rsidR="00E30F5E" w:rsidRPr="006268EB" w:rsidRDefault="006268EB" w:rsidP="00874550">
            <w:pPr>
              <w:jc w:val="center"/>
              <w:rPr>
                <w:color w:val="000000"/>
                <w:sz w:val="22"/>
                <w:szCs w:val="22"/>
                <w:lang w:val="en-US"/>
              </w:rPr>
            </w:pPr>
            <w:r>
              <w:rPr>
                <w:color w:val="000000"/>
                <w:sz w:val="22"/>
                <w:szCs w:val="22"/>
                <w:lang w:val="en-US"/>
              </w:rPr>
              <w:t>34917</w:t>
            </w:r>
          </w:p>
        </w:tc>
      </w:tr>
      <w:tr w:rsidR="00E30F5E" w:rsidRPr="00A25AB2" w:rsidTr="00334C44">
        <w:trPr>
          <w:trHeight w:val="300"/>
        </w:trPr>
        <w:tc>
          <w:tcPr>
            <w:tcW w:w="1115" w:type="dxa"/>
            <w:tcBorders>
              <w:top w:val="nil"/>
              <w:left w:val="single" w:sz="4" w:space="0" w:color="auto"/>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lang w:val="ru-RU"/>
              </w:rPr>
            </w:pPr>
            <w:r>
              <w:rPr>
                <w:color w:val="000000"/>
                <w:sz w:val="22"/>
                <w:szCs w:val="22"/>
                <w:lang w:val="ru-RU"/>
              </w:rPr>
              <w:t>3</w:t>
            </w:r>
          </w:p>
        </w:tc>
        <w:tc>
          <w:tcPr>
            <w:tcW w:w="4107"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Голка для спінальної анестезії  (тип вістря «Квінке»); розмір 25G x 3 ½ (0,5мм x 88мм)</w:t>
            </w:r>
          </w:p>
        </w:tc>
        <w:tc>
          <w:tcPr>
            <w:tcW w:w="1520"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шт</w:t>
            </w:r>
          </w:p>
        </w:tc>
        <w:tc>
          <w:tcPr>
            <w:tcW w:w="1574" w:type="dxa"/>
            <w:tcBorders>
              <w:top w:val="nil"/>
              <w:left w:val="nil"/>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rPr>
            </w:pPr>
            <w:r>
              <w:rPr>
                <w:color w:val="000000"/>
                <w:sz w:val="22"/>
                <w:szCs w:val="22"/>
              </w:rPr>
              <w:t>150</w:t>
            </w:r>
          </w:p>
        </w:tc>
        <w:tc>
          <w:tcPr>
            <w:tcW w:w="1622" w:type="dxa"/>
            <w:tcBorders>
              <w:top w:val="nil"/>
              <w:left w:val="nil"/>
              <w:bottom w:val="single" w:sz="4" w:space="0" w:color="auto"/>
              <w:right w:val="single" w:sz="4" w:space="0" w:color="auto"/>
            </w:tcBorders>
          </w:tcPr>
          <w:p w:rsidR="00E30F5E" w:rsidRPr="006268EB" w:rsidRDefault="006268EB" w:rsidP="00874550">
            <w:pPr>
              <w:jc w:val="center"/>
              <w:rPr>
                <w:color w:val="000000"/>
                <w:sz w:val="22"/>
                <w:szCs w:val="22"/>
                <w:lang w:val="en-US"/>
              </w:rPr>
            </w:pPr>
            <w:r>
              <w:rPr>
                <w:color w:val="000000"/>
                <w:sz w:val="22"/>
                <w:szCs w:val="22"/>
                <w:lang w:val="en-US"/>
              </w:rPr>
              <w:t>35212</w:t>
            </w:r>
          </w:p>
        </w:tc>
      </w:tr>
      <w:tr w:rsidR="00E30F5E" w:rsidRPr="00A25AB2" w:rsidTr="00334C44">
        <w:trPr>
          <w:trHeight w:val="300"/>
        </w:trPr>
        <w:tc>
          <w:tcPr>
            <w:tcW w:w="1115" w:type="dxa"/>
            <w:tcBorders>
              <w:top w:val="nil"/>
              <w:left w:val="single" w:sz="4" w:space="0" w:color="auto"/>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lang w:val="ru-RU"/>
              </w:rPr>
            </w:pPr>
            <w:r>
              <w:rPr>
                <w:color w:val="000000"/>
                <w:sz w:val="22"/>
                <w:szCs w:val="22"/>
                <w:lang w:val="ru-RU"/>
              </w:rPr>
              <w:t>4</w:t>
            </w:r>
          </w:p>
        </w:tc>
        <w:tc>
          <w:tcPr>
            <w:tcW w:w="4107"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 xml:space="preserve"> Голка для спінальної анестезії (тип вістря «Квінке»); розмір 22G x 3 ½ (0,7мм x 88мм)</w:t>
            </w:r>
          </w:p>
        </w:tc>
        <w:tc>
          <w:tcPr>
            <w:tcW w:w="1520" w:type="dxa"/>
            <w:tcBorders>
              <w:top w:val="nil"/>
              <w:left w:val="nil"/>
              <w:bottom w:val="single" w:sz="4" w:space="0" w:color="auto"/>
              <w:right w:val="single" w:sz="4" w:space="0" w:color="auto"/>
            </w:tcBorders>
            <w:shd w:val="clear" w:color="auto" w:fill="auto"/>
            <w:vAlign w:val="bottom"/>
            <w:hideMark/>
          </w:tcPr>
          <w:p w:rsidR="00E30F5E" w:rsidRPr="00D11FB8" w:rsidRDefault="00E30F5E" w:rsidP="00A25AB2">
            <w:pPr>
              <w:rPr>
                <w:color w:val="000000"/>
                <w:sz w:val="22"/>
                <w:szCs w:val="22"/>
              </w:rPr>
            </w:pPr>
            <w:r w:rsidRPr="00D11FB8">
              <w:rPr>
                <w:color w:val="000000"/>
                <w:sz w:val="22"/>
                <w:szCs w:val="22"/>
              </w:rPr>
              <w:t>шт</w:t>
            </w:r>
          </w:p>
        </w:tc>
        <w:tc>
          <w:tcPr>
            <w:tcW w:w="1574" w:type="dxa"/>
            <w:tcBorders>
              <w:top w:val="nil"/>
              <w:left w:val="nil"/>
              <w:bottom w:val="single" w:sz="4" w:space="0" w:color="auto"/>
              <w:right w:val="single" w:sz="4" w:space="0" w:color="auto"/>
            </w:tcBorders>
            <w:shd w:val="clear" w:color="auto" w:fill="auto"/>
            <w:vAlign w:val="bottom"/>
          </w:tcPr>
          <w:p w:rsidR="00E30F5E" w:rsidRPr="00D11FB8" w:rsidRDefault="00E30F5E" w:rsidP="00A25AB2">
            <w:pPr>
              <w:jc w:val="right"/>
              <w:rPr>
                <w:color w:val="000000"/>
                <w:sz w:val="22"/>
                <w:szCs w:val="22"/>
              </w:rPr>
            </w:pPr>
            <w:r>
              <w:rPr>
                <w:color w:val="000000"/>
                <w:sz w:val="22"/>
                <w:szCs w:val="22"/>
              </w:rPr>
              <w:t>100</w:t>
            </w:r>
          </w:p>
        </w:tc>
        <w:tc>
          <w:tcPr>
            <w:tcW w:w="1622" w:type="dxa"/>
            <w:tcBorders>
              <w:top w:val="nil"/>
              <w:left w:val="nil"/>
              <w:bottom w:val="single" w:sz="4" w:space="0" w:color="auto"/>
              <w:right w:val="single" w:sz="4" w:space="0" w:color="auto"/>
            </w:tcBorders>
          </w:tcPr>
          <w:p w:rsidR="00E30F5E" w:rsidRPr="00B536C6" w:rsidRDefault="006268EB" w:rsidP="00874550">
            <w:pPr>
              <w:jc w:val="center"/>
              <w:rPr>
                <w:color w:val="000000"/>
                <w:sz w:val="22"/>
                <w:szCs w:val="22"/>
              </w:rPr>
            </w:pPr>
            <w:r>
              <w:rPr>
                <w:color w:val="000000"/>
                <w:sz w:val="22"/>
                <w:szCs w:val="22"/>
                <w:lang w:val="en-US"/>
              </w:rPr>
              <w:t>35212</w:t>
            </w:r>
          </w:p>
        </w:tc>
      </w:tr>
    </w:tbl>
    <w:p w:rsidR="000F3700" w:rsidRPr="00A25AB2" w:rsidRDefault="000F3700">
      <w:pPr>
        <w:ind w:left="720"/>
        <w:jc w:val="both"/>
        <w:rPr>
          <w:rFonts w:eastAsia="Noto Sans CJK SC Regular"/>
          <w:b/>
          <w:kern w:val="2"/>
          <w:lang w:val="ru-RU" w:bidi="hi-IN"/>
        </w:rPr>
      </w:pPr>
    </w:p>
    <w:p w:rsidR="00D1705F" w:rsidRPr="00A25AB2" w:rsidRDefault="00D1705F">
      <w:pPr>
        <w:ind w:left="720"/>
        <w:jc w:val="both"/>
        <w:rPr>
          <w:rFonts w:eastAsia="Noto Sans CJK SC Regular"/>
          <w:kern w:val="2"/>
          <w:lang w:val="ru-RU" w:bidi="hi-IN"/>
        </w:rPr>
      </w:pPr>
    </w:p>
    <w:p w:rsidR="00166386" w:rsidRDefault="00166386">
      <w:pPr>
        <w:jc w:val="center"/>
        <w:rPr>
          <w:b/>
        </w:rPr>
      </w:pPr>
    </w:p>
    <w:p w:rsidR="00071925" w:rsidRDefault="00071925">
      <w:pPr>
        <w:jc w:val="center"/>
        <w:rPr>
          <w:b/>
        </w:rPr>
      </w:pPr>
    </w:p>
    <w:p w:rsidR="00D1705F" w:rsidRDefault="00453F46">
      <w:pPr>
        <w:jc w:val="center"/>
        <w:rPr>
          <w:b/>
        </w:rPr>
      </w:pPr>
      <w:r>
        <w:rPr>
          <w:b/>
        </w:rPr>
        <w:t xml:space="preserve">Таблиця 2. </w:t>
      </w:r>
      <w:r w:rsidR="00FF0EE7">
        <w:rPr>
          <w:b/>
        </w:rPr>
        <w:t xml:space="preserve">Медико-технічні вимоги </w:t>
      </w:r>
    </w:p>
    <w:p w:rsidR="00D1705F" w:rsidRDefault="00D1705F">
      <w:pPr>
        <w:jc w:val="right"/>
        <w:rPr>
          <w:lang w:val="en-US"/>
        </w:rPr>
      </w:pPr>
    </w:p>
    <w:tbl>
      <w:tblPr>
        <w:tblStyle w:val="ae"/>
        <w:tblW w:w="10314" w:type="dxa"/>
        <w:jc w:val="center"/>
        <w:tblLayout w:type="fixed"/>
        <w:tblLook w:val="04A0" w:firstRow="1" w:lastRow="0" w:firstColumn="1" w:lastColumn="0" w:noHBand="0" w:noVBand="1"/>
      </w:tblPr>
      <w:tblGrid>
        <w:gridCol w:w="2890"/>
        <w:gridCol w:w="5687"/>
        <w:gridCol w:w="1737"/>
      </w:tblGrid>
      <w:tr w:rsidR="00D1705F" w:rsidRPr="000242DE" w:rsidTr="0048706C">
        <w:trPr>
          <w:jc w:val="center"/>
        </w:trPr>
        <w:tc>
          <w:tcPr>
            <w:tcW w:w="2890" w:type="dxa"/>
            <w:shd w:val="clear" w:color="auto" w:fill="auto"/>
            <w:vAlign w:val="center"/>
          </w:tcPr>
          <w:p w:rsidR="00D1705F" w:rsidRPr="000242DE" w:rsidRDefault="00FF0EE7">
            <w:pPr>
              <w:suppressAutoHyphens/>
              <w:jc w:val="center"/>
              <w:rPr>
                <w:b/>
                <w:sz w:val="22"/>
                <w:szCs w:val="22"/>
                <w:lang w:eastAsia="ar-SA"/>
              </w:rPr>
            </w:pPr>
            <w:r w:rsidRPr="000242DE">
              <w:rPr>
                <w:b/>
                <w:sz w:val="22"/>
                <w:szCs w:val="22"/>
                <w:lang w:eastAsia="ar-SA"/>
              </w:rPr>
              <w:t>Найменування товару</w:t>
            </w:r>
          </w:p>
        </w:tc>
        <w:tc>
          <w:tcPr>
            <w:tcW w:w="5687" w:type="dxa"/>
            <w:shd w:val="clear" w:color="auto" w:fill="auto"/>
            <w:vAlign w:val="center"/>
          </w:tcPr>
          <w:p w:rsidR="00D1705F" w:rsidRPr="000242DE" w:rsidRDefault="00FF0EE7">
            <w:pPr>
              <w:suppressAutoHyphens/>
              <w:jc w:val="center"/>
              <w:rPr>
                <w:b/>
                <w:sz w:val="22"/>
                <w:szCs w:val="22"/>
                <w:lang w:eastAsia="ar-SA"/>
              </w:rPr>
            </w:pPr>
            <w:r w:rsidRPr="000242DE">
              <w:rPr>
                <w:b/>
                <w:sz w:val="22"/>
                <w:szCs w:val="22"/>
                <w:lang w:eastAsia="ar-SA"/>
              </w:rPr>
              <w:t>Опис та характеристика товару</w:t>
            </w:r>
          </w:p>
        </w:tc>
        <w:tc>
          <w:tcPr>
            <w:tcW w:w="1737" w:type="dxa"/>
            <w:vAlign w:val="center"/>
          </w:tcPr>
          <w:p w:rsidR="00D1705F" w:rsidRPr="000242DE" w:rsidRDefault="00E204D1">
            <w:pPr>
              <w:suppressAutoHyphens/>
              <w:jc w:val="center"/>
              <w:rPr>
                <w:b/>
                <w:sz w:val="22"/>
                <w:szCs w:val="22"/>
                <w:lang w:eastAsia="ar-SA"/>
              </w:rPr>
            </w:pPr>
            <w:r>
              <w:rPr>
                <w:b/>
                <w:sz w:val="22"/>
                <w:szCs w:val="22"/>
                <w:lang w:eastAsia="ar-SA"/>
              </w:rPr>
              <w:t>Відповід</w:t>
            </w:r>
            <w:r w:rsidR="00FF0EE7" w:rsidRPr="000242DE">
              <w:rPr>
                <w:b/>
                <w:sz w:val="22"/>
                <w:szCs w:val="22"/>
                <w:lang w:eastAsia="ar-SA"/>
              </w:rPr>
              <w:t xml:space="preserve">ність </w:t>
            </w:r>
          </w:p>
          <w:p w:rsidR="00D1705F" w:rsidRPr="000242DE" w:rsidRDefault="00FF0EE7">
            <w:pPr>
              <w:suppressAutoHyphens/>
              <w:jc w:val="center"/>
              <w:rPr>
                <w:b/>
                <w:sz w:val="22"/>
                <w:szCs w:val="22"/>
                <w:lang w:eastAsia="ar-SA"/>
              </w:rPr>
            </w:pPr>
            <w:r w:rsidRPr="000242DE">
              <w:rPr>
                <w:b/>
                <w:sz w:val="22"/>
                <w:szCs w:val="22"/>
                <w:lang w:eastAsia="ar-SA"/>
              </w:rPr>
              <w:t>так/ні</w:t>
            </w:r>
          </w:p>
        </w:tc>
      </w:tr>
      <w:tr w:rsidR="0048706C" w:rsidRPr="000242DE" w:rsidTr="0048706C">
        <w:trPr>
          <w:jc w:val="center"/>
        </w:trPr>
        <w:tc>
          <w:tcPr>
            <w:tcW w:w="2890" w:type="dxa"/>
          </w:tcPr>
          <w:p w:rsidR="0048706C" w:rsidRPr="002039DA" w:rsidRDefault="00655085" w:rsidP="007837C8">
            <w:pPr>
              <w:rPr>
                <w:sz w:val="22"/>
                <w:szCs w:val="22"/>
              </w:rPr>
            </w:pPr>
            <w:r w:rsidRPr="002039DA">
              <w:rPr>
                <w:sz w:val="22"/>
                <w:szCs w:val="22"/>
              </w:rPr>
              <w:t>Катетер Фолея латексний, 2-ходовий, розмір Fr16</w:t>
            </w:r>
          </w:p>
        </w:tc>
        <w:tc>
          <w:tcPr>
            <w:tcW w:w="5687" w:type="dxa"/>
            <w:tcBorders>
              <w:top w:val="single" w:sz="4" w:space="0" w:color="auto"/>
              <w:left w:val="single" w:sz="4" w:space="0" w:color="auto"/>
              <w:bottom w:val="single" w:sz="4" w:space="0" w:color="auto"/>
              <w:right w:val="single" w:sz="4" w:space="0" w:color="auto"/>
            </w:tcBorders>
          </w:tcPr>
          <w:p w:rsidR="00655085" w:rsidRPr="002039DA" w:rsidRDefault="00655085" w:rsidP="00655085">
            <w:pPr>
              <w:tabs>
                <w:tab w:val="left" w:pos="1060"/>
              </w:tabs>
              <w:jc w:val="both"/>
              <w:rPr>
                <w:color w:val="000000"/>
                <w:sz w:val="22"/>
                <w:szCs w:val="22"/>
              </w:rPr>
            </w:pPr>
            <w:r w:rsidRPr="002039DA">
              <w:rPr>
                <w:color w:val="000000"/>
                <w:sz w:val="22"/>
                <w:szCs w:val="22"/>
              </w:rPr>
              <w:t>Катетер Фолея  (2-х ходовий)</w:t>
            </w:r>
          </w:p>
          <w:p w:rsidR="00655085" w:rsidRPr="002039DA" w:rsidRDefault="00655085" w:rsidP="00655085">
            <w:pPr>
              <w:tabs>
                <w:tab w:val="left" w:pos="1060"/>
              </w:tabs>
              <w:jc w:val="both"/>
              <w:rPr>
                <w:color w:val="000000"/>
                <w:sz w:val="22"/>
                <w:szCs w:val="22"/>
              </w:rPr>
            </w:pPr>
            <w:r w:rsidRPr="002039DA">
              <w:rPr>
                <w:color w:val="000000"/>
                <w:sz w:val="22"/>
                <w:szCs w:val="22"/>
              </w:rPr>
              <w:t>Для тривалої катетеризації сечового міхура, та проведення лікувальних маніпуляцій у дорослих.</w:t>
            </w:r>
          </w:p>
          <w:p w:rsidR="00655085" w:rsidRPr="002039DA" w:rsidRDefault="00655085" w:rsidP="00655085">
            <w:pPr>
              <w:tabs>
                <w:tab w:val="left" w:pos="1060"/>
              </w:tabs>
              <w:jc w:val="both"/>
              <w:rPr>
                <w:color w:val="000000"/>
                <w:sz w:val="22"/>
                <w:szCs w:val="22"/>
              </w:rPr>
            </w:pPr>
            <w:r w:rsidRPr="002039DA">
              <w:rPr>
                <w:color w:val="000000"/>
                <w:sz w:val="22"/>
                <w:szCs w:val="22"/>
              </w:rPr>
              <w:t>Виготовлений з натурального латексу та оброблений силіконом.</w:t>
            </w:r>
          </w:p>
          <w:p w:rsidR="00655085" w:rsidRPr="002039DA" w:rsidRDefault="00655085" w:rsidP="00655085">
            <w:pPr>
              <w:tabs>
                <w:tab w:val="left" w:pos="1060"/>
              </w:tabs>
              <w:jc w:val="both"/>
              <w:rPr>
                <w:color w:val="000000"/>
                <w:sz w:val="22"/>
                <w:szCs w:val="22"/>
              </w:rPr>
            </w:pPr>
            <w:r w:rsidRPr="002039DA">
              <w:rPr>
                <w:color w:val="000000"/>
                <w:sz w:val="22"/>
                <w:szCs w:val="22"/>
              </w:rPr>
              <w:t>Два бічні отвори для ефективного дренажу.</w:t>
            </w:r>
          </w:p>
          <w:p w:rsidR="00655085" w:rsidRPr="002039DA" w:rsidRDefault="00655085" w:rsidP="00655085">
            <w:pPr>
              <w:tabs>
                <w:tab w:val="left" w:pos="1060"/>
              </w:tabs>
              <w:jc w:val="both"/>
              <w:rPr>
                <w:color w:val="000000"/>
                <w:sz w:val="22"/>
                <w:szCs w:val="22"/>
              </w:rPr>
            </w:pPr>
            <w:r w:rsidRPr="002039DA">
              <w:rPr>
                <w:color w:val="000000"/>
                <w:sz w:val="22"/>
                <w:szCs w:val="22"/>
              </w:rPr>
              <w:t>Два ходи.</w:t>
            </w:r>
          </w:p>
          <w:p w:rsidR="00655085" w:rsidRPr="002039DA" w:rsidRDefault="00655085" w:rsidP="00655085">
            <w:pPr>
              <w:tabs>
                <w:tab w:val="left" w:pos="1060"/>
              </w:tabs>
              <w:jc w:val="both"/>
              <w:rPr>
                <w:color w:val="000000"/>
                <w:sz w:val="22"/>
                <w:szCs w:val="22"/>
              </w:rPr>
            </w:pPr>
            <w:r w:rsidRPr="002039DA">
              <w:rPr>
                <w:color w:val="000000"/>
                <w:sz w:val="22"/>
                <w:szCs w:val="22"/>
              </w:rPr>
              <w:t>Гладка поверхня, без сторонніх речовин.</w:t>
            </w:r>
          </w:p>
          <w:p w:rsidR="00655085" w:rsidRPr="002039DA" w:rsidRDefault="00655085" w:rsidP="00655085">
            <w:pPr>
              <w:tabs>
                <w:tab w:val="left" w:pos="1060"/>
              </w:tabs>
              <w:jc w:val="both"/>
              <w:rPr>
                <w:color w:val="000000"/>
                <w:sz w:val="22"/>
                <w:szCs w:val="22"/>
              </w:rPr>
            </w:pPr>
            <w:r w:rsidRPr="002039DA">
              <w:rPr>
                <w:color w:val="000000"/>
                <w:sz w:val="22"/>
                <w:szCs w:val="22"/>
              </w:rPr>
              <w:t xml:space="preserve">Атравматичний дистальний кінець заокругленої форми, </w:t>
            </w:r>
            <w:r w:rsidRPr="002039DA">
              <w:rPr>
                <w:color w:val="000000"/>
                <w:sz w:val="22"/>
                <w:szCs w:val="22"/>
              </w:rPr>
              <w:lastRenderedPageBreak/>
              <w:t>що запобігає травмуванню тканин при введенні катетера.</w:t>
            </w:r>
          </w:p>
          <w:p w:rsidR="00655085" w:rsidRPr="002039DA" w:rsidRDefault="00655085" w:rsidP="00655085">
            <w:pPr>
              <w:tabs>
                <w:tab w:val="left" w:pos="1060"/>
              </w:tabs>
              <w:jc w:val="both"/>
              <w:rPr>
                <w:color w:val="000000"/>
                <w:sz w:val="22"/>
                <w:szCs w:val="22"/>
              </w:rPr>
            </w:pPr>
            <w:r w:rsidRPr="002039DA">
              <w:rPr>
                <w:color w:val="000000"/>
                <w:sz w:val="22"/>
                <w:szCs w:val="22"/>
              </w:rPr>
              <w:t>Безпечне і симетричне надування балона.</w:t>
            </w:r>
          </w:p>
          <w:p w:rsidR="00655085" w:rsidRPr="002039DA" w:rsidRDefault="00655085" w:rsidP="00655085">
            <w:pPr>
              <w:tabs>
                <w:tab w:val="left" w:pos="1060"/>
              </w:tabs>
              <w:jc w:val="both"/>
              <w:rPr>
                <w:color w:val="000000"/>
                <w:sz w:val="22"/>
                <w:szCs w:val="22"/>
              </w:rPr>
            </w:pPr>
            <w:r w:rsidRPr="002039DA">
              <w:rPr>
                <w:color w:val="000000"/>
                <w:sz w:val="22"/>
                <w:szCs w:val="22"/>
              </w:rPr>
              <w:t xml:space="preserve">Об’єм балону не більше 30 мл. </w:t>
            </w:r>
          </w:p>
          <w:p w:rsidR="00655085" w:rsidRPr="002039DA" w:rsidRDefault="00655085" w:rsidP="00655085">
            <w:pPr>
              <w:tabs>
                <w:tab w:val="left" w:pos="1060"/>
              </w:tabs>
              <w:jc w:val="both"/>
              <w:rPr>
                <w:color w:val="000000"/>
                <w:sz w:val="22"/>
                <w:szCs w:val="22"/>
              </w:rPr>
            </w:pPr>
            <w:r w:rsidRPr="002039DA">
              <w:rPr>
                <w:color w:val="000000"/>
                <w:sz w:val="22"/>
                <w:szCs w:val="22"/>
              </w:rPr>
              <w:t>Довжина катетера не більше 400 мм.</w:t>
            </w:r>
          </w:p>
          <w:p w:rsidR="00655085" w:rsidRPr="002039DA" w:rsidRDefault="00655085" w:rsidP="00655085">
            <w:pPr>
              <w:tabs>
                <w:tab w:val="left" w:pos="1060"/>
              </w:tabs>
              <w:jc w:val="both"/>
              <w:rPr>
                <w:color w:val="000000"/>
                <w:sz w:val="22"/>
                <w:szCs w:val="22"/>
              </w:rPr>
            </w:pPr>
            <w:r w:rsidRPr="002039DA">
              <w:rPr>
                <w:color w:val="000000"/>
                <w:sz w:val="22"/>
                <w:szCs w:val="22"/>
              </w:rPr>
              <w:t>Корисна довжина катетера не менше 336-338 мм.</w:t>
            </w:r>
          </w:p>
          <w:p w:rsidR="00655085" w:rsidRPr="002039DA" w:rsidRDefault="00655085" w:rsidP="00655085">
            <w:pPr>
              <w:tabs>
                <w:tab w:val="left" w:pos="1060"/>
              </w:tabs>
              <w:jc w:val="both"/>
              <w:rPr>
                <w:color w:val="000000"/>
                <w:sz w:val="22"/>
                <w:szCs w:val="22"/>
              </w:rPr>
            </w:pPr>
            <w:r w:rsidRPr="002039DA">
              <w:rPr>
                <w:color w:val="000000"/>
                <w:sz w:val="22"/>
                <w:szCs w:val="22"/>
              </w:rPr>
              <w:t xml:space="preserve">Розміри Fr: 16.  </w:t>
            </w:r>
          </w:p>
          <w:p w:rsidR="00655085" w:rsidRPr="002039DA" w:rsidRDefault="00655085" w:rsidP="00655085">
            <w:pPr>
              <w:tabs>
                <w:tab w:val="left" w:pos="1060"/>
              </w:tabs>
              <w:jc w:val="both"/>
              <w:rPr>
                <w:color w:val="000000"/>
                <w:sz w:val="22"/>
                <w:szCs w:val="22"/>
              </w:rPr>
            </w:pPr>
            <w:r w:rsidRPr="002039DA">
              <w:rPr>
                <w:color w:val="000000"/>
                <w:sz w:val="22"/>
                <w:szCs w:val="22"/>
              </w:rPr>
              <w:t>Кольорове кодування розмірів.</w:t>
            </w:r>
          </w:p>
          <w:p w:rsidR="00655085" w:rsidRPr="002039DA" w:rsidRDefault="00655085" w:rsidP="00655085">
            <w:pPr>
              <w:tabs>
                <w:tab w:val="left" w:pos="1060"/>
              </w:tabs>
              <w:jc w:val="both"/>
              <w:rPr>
                <w:color w:val="000000"/>
                <w:sz w:val="22"/>
                <w:szCs w:val="22"/>
              </w:rPr>
            </w:pPr>
            <w:r w:rsidRPr="002039DA">
              <w:rPr>
                <w:color w:val="000000"/>
                <w:sz w:val="22"/>
                <w:szCs w:val="22"/>
              </w:rPr>
              <w:t>Стерильний, апірогенний та нетоксичний.</w:t>
            </w:r>
          </w:p>
          <w:p w:rsidR="00655085" w:rsidRPr="002039DA" w:rsidRDefault="00655085" w:rsidP="00655085">
            <w:pPr>
              <w:tabs>
                <w:tab w:val="left" w:pos="1060"/>
              </w:tabs>
              <w:jc w:val="both"/>
              <w:rPr>
                <w:color w:val="000000"/>
                <w:sz w:val="22"/>
                <w:szCs w:val="22"/>
              </w:rPr>
            </w:pPr>
            <w:r w:rsidRPr="002039DA">
              <w:rPr>
                <w:color w:val="000000"/>
                <w:sz w:val="22"/>
                <w:szCs w:val="22"/>
              </w:rPr>
              <w:t>Для одноразового використання.</w:t>
            </w:r>
          </w:p>
          <w:p w:rsidR="00655085" w:rsidRPr="002039DA" w:rsidRDefault="00655085" w:rsidP="00655085">
            <w:pPr>
              <w:tabs>
                <w:tab w:val="left" w:pos="1060"/>
              </w:tabs>
              <w:jc w:val="both"/>
              <w:rPr>
                <w:color w:val="000000"/>
                <w:sz w:val="22"/>
                <w:szCs w:val="22"/>
              </w:rPr>
            </w:pPr>
            <w:r w:rsidRPr="002039DA">
              <w:rPr>
                <w:color w:val="000000"/>
                <w:sz w:val="22"/>
                <w:szCs w:val="22"/>
              </w:rPr>
              <w:t>Індивідуальне пакування.</w:t>
            </w:r>
          </w:p>
          <w:p w:rsidR="0048706C" w:rsidRPr="002039DA" w:rsidRDefault="00655085" w:rsidP="00655085">
            <w:pPr>
              <w:tabs>
                <w:tab w:val="left" w:pos="1060"/>
              </w:tabs>
              <w:jc w:val="both"/>
              <w:rPr>
                <w:color w:val="000000"/>
                <w:sz w:val="22"/>
                <w:szCs w:val="22"/>
              </w:rPr>
            </w:pPr>
            <w:r w:rsidRPr="002039DA">
              <w:rPr>
                <w:color w:val="000000"/>
                <w:sz w:val="22"/>
                <w:szCs w:val="22"/>
              </w:rPr>
              <w:t>Відповідає вимогам стандарту ISO 20696.</w:t>
            </w:r>
          </w:p>
        </w:tc>
        <w:tc>
          <w:tcPr>
            <w:tcW w:w="1737" w:type="dxa"/>
            <w:tcBorders>
              <w:top w:val="single" w:sz="4" w:space="0" w:color="auto"/>
              <w:left w:val="single" w:sz="4" w:space="0" w:color="auto"/>
              <w:bottom w:val="single" w:sz="4" w:space="0" w:color="auto"/>
              <w:right w:val="single" w:sz="4" w:space="0" w:color="auto"/>
            </w:tcBorders>
          </w:tcPr>
          <w:p w:rsidR="0048706C" w:rsidRPr="000242DE" w:rsidRDefault="0048706C">
            <w:pPr>
              <w:jc w:val="both"/>
              <w:rPr>
                <w:sz w:val="22"/>
                <w:szCs w:val="22"/>
              </w:rPr>
            </w:pPr>
          </w:p>
        </w:tc>
      </w:tr>
      <w:tr w:rsidR="00706822" w:rsidRPr="000242DE" w:rsidTr="0048706C">
        <w:trPr>
          <w:jc w:val="center"/>
        </w:trPr>
        <w:tc>
          <w:tcPr>
            <w:tcW w:w="2890" w:type="dxa"/>
          </w:tcPr>
          <w:p w:rsidR="00706822" w:rsidRPr="002039DA" w:rsidRDefault="00655085" w:rsidP="007837C8">
            <w:pPr>
              <w:rPr>
                <w:color w:val="000000"/>
                <w:sz w:val="22"/>
                <w:szCs w:val="22"/>
              </w:rPr>
            </w:pPr>
            <w:r w:rsidRPr="002039DA">
              <w:rPr>
                <w:color w:val="000000"/>
                <w:sz w:val="22"/>
                <w:szCs w:val="22"/>
              </w:rPr>
              <w:t>Катетер Фолея латексний, 2-ходовий, розмір Fr18</w:t>
            </w:r>
          </w:p>
        </w:tc>
        <w:tc>
          <w:tcPr>
            <w:tcW w:w="5687" w:type="dxa"/>
            <w:tcBorders>
              <w:top w:val="single" w:sz="4" w:space="0" w:color="auto"/>
              <w:left w:val="single" w:sz="4" w:space="0" w:color="auto"/>
              <w:bottom w:val="single" w:sz="4" w:space="0" w:color="auto"/>
              <w:right w:val="single" w:sz="4" w:space="0" w:color="auto"/>
            </w:tcBorders>
          </w:tcPr>
          <w:p w:rsidR="00655085" w:rsidRPr="002039DA" w:rsidRDefault="00655085" w:rsidP="00655085">
            <w:pPr>
              <w:rPr>
                <w:color w:val="000000"/>
                <w:sz w:val="22"/>
                <w:szCs w:val="22"/>
              </w:rPr>
            </w:pPr>
            <w:r w:rsidRPr="002039DA">
              <w:rPr>
                <w:color w:val="000000"/>
                <w:sz w:val="22"/>
                <w:szCs w:val="22"/>
              </w:rPr>
              <w:t>Катетер Фолея  (2-х ходовий)</w:t>
            </w:r>
          </w:p>
          <w:p w:rsidR="00655085" w:rsidRPr="002039DA" w:rsidRDefault="00655085" w:rsidP="00655085">
            <w:pPr>
              <w:rPr>
                <w:color w:val="000000"/>
                <w:sz w:val="22"/>
                <w:szCs w:val="22"/>
              </w:rPr>
            </w:pPr>
            <w:r w:rsidRPr="002039DA">
              <w:rPr>
                <w:color w:val="000000"/>
                <w:sz w:val="22"/>
                <w:szCs w:val="22"/>
              </w:rPr>
              <w:t>Для тривалої катетеризації сечового міхура, та проведення лікувальних маніпуляцій у дорослих.</w:t>
            </w:r>
          </w:p>
          <w:p w:rsidR="00655085" w:rsidRPr="002039DA" w:rsidRDefault="00655085" w:rsidP="00655085">
            <w:pPr>
              <w:rPr>
                <w:color w:val="000000"/>
                <w:sz w:val="22"/>
                <w:szCs w:val="22"/>
              </w:rPr>
            </w:pPr>
            <w:r w:rsidRPr="002039DA">
              <w:rPr>
                <w:color w:val="000000"/>
                <w:sz w:val="22"/>
                <w:szCs w:val="22"/>
              </w:rPr>
              <w:t>Виготовлений з натурального латексу та оброблений силіконом.</w:t>
            </w:r>
          </w:p>
          <w:p w:rsidR="00655085" w:rsidRPr="002039DA" w:rsidRDefault="00655085" w:rsidP="00655085">
            <w:pPr>
              <w:rPr>
                <w:color w:val="000000"/>
                <w:sz w:val="22"/>
                <w:szCs w:val="22"/>
              </w:rPr>
            </w:pPr>
            <w:r w:rsidRPr="002039DA">
              <w:rPr>
                <w:color w:val="000000"/>
                <w:sz w:val="22"/>
                <w:szCs w:val="22"/>
              </w:rPr>
              <w:t>Два бічні отвори для ефективного дренажу.</w:t>
            </w:r>
          </w:p>
          <w:p w:rsidR="00655085" w:rsidRPr="002039DA" w:rsidRDefault="00655085" w:rsidP="00655085">
            <w:pPr>
              <w:rPr>
                <w:color w:val="000000"/>
                <w:sz w:val="22"/>
                <w:szCs w:val="22"/>
              </w:rPr>
            </w:pPr>
            <w:r w:rsidRPr="002039DA">
              <w:rPr>
                <w:color w:val="000000"/>
                <w:sz w:val="22"/>
                <w:szCs w:val="22"/>
              </w:rPr>
              <w:t>Два ходи.</w:t>
            </w:r>
          </w:p>
          <w:p w:rsidR="00655085" w:rsidRPr="002039DA" w:rsidRDefault="00655085" w:rsidP="00655085">
            <w:pPr>
              <w:rPr>
                <w:color w:val="000000"/>
                <w:sz w:val="22"/>
                <w:szCs w:val="22"/>
              </w:rPr>
            </w:pPr>
            <w:r w:rsidRPr="002039DA">
              <w:rPr>
                <w:color w:val="000000"/>
                <w:sz w:val="22"/>
                <w:szCs w:val="22"/>
              </w:rPr>
              <w:t>Гладка поверхня, без сторонніх речовин.</w:t>
            </w:r>
          </w:p>
          <w:p w:rsidR="00655085" w:rsidRPr="002039DA" w:rsidRDefault="00655085" w:rsidP="00655085">
            <w:pPr>
              <w:rPr>
                <w:color w:val="000000"/>
                <w:sz w:val="22"/>
                <w:szCs w:val="22"/>
              </w:rPr>
            </w:pPr>
            <w:r w:rsidRPr="002039DA">
              <w:rPr>
                <w:color w:val="000000"/>
                <w:sz w:val="22"/>
                <w:szCs w:val="22"/>
              </w:rPr>
              <w:t>Атравматичний дистальний кінець заокругленої форми, що запобігає травмуванню тканин при введенні катетера.</w:t>
            </w:r>
          </w:p>
          <w:p w:rsidR="00655085" w:rsidRPr="002039DA" w:rsidRDefault="00655085" w:rsidP="00655085">
            <w:pPr>
              <w:rPr>
                <w:color w:val="000000"/>
                <w:sz w:val="22"/>
                <w:szCs w:val="22"/>
              </w:rPr>
            </w:pPr>
            <w:r w:rsidRPr="002039DA">
              <w:rPr>
                <w:color w:val="000000"/>
                <w:sz w:val="22"/>
                <w:szCs w:val="22"/>
              </w:rPr>
              <w:t>Безпечне і симетричне надування балона.</w:t>
            </w:r>
          </w:p>
          <w:p w:rsidR="00655085" w:rsidRPr="002039DA" w:rsidRDefault="00655085" w:rsidP="00655085">
            <w:pPr>
              <w:rPr>
                <w:color w:val="000000"/>
                <w:sz w:val="22"/>
                <w:szCs w:val="22"/>
              </w:rPr>
            </w:pPr>
            <w:r w:rsidRPr="002039DA">
              <w:rPr>
                <w:color w:val="000000"/>
                <w:sz w:val="22"/>
                <w:szCs w:val="22"/>
              </w:rPr>
              <w:t xml:space="preserve">Об’єм балону не більше 30 мл. </w:t>
            </w:r>
          </w:p>
          <w:p w:rsidR="00655085" w:rsidRPr="002039DA" w:rsidRDefault="00655085" w:rsidP="00655085">
            <w:pPr>
              <w:rPr>
                <w:color w:val="000000"/>
                <w:sz w:val="22"/>
                <w:szCs w:val="22"/>
              </w:rPr>
            </w:pPr>
            <w:r w:rsidRPr="002039DA">
              <w:rPr>
                <w:color w:val="000000"/>
                <w:sz w:val="22"/>
                <w:szCs w:val="22"/>
              </w:rPr>
              <w:t>Довжина катетера не більше 400 мм.</w:t>
            </w:r>
          </w:p>
          <w:p w:rsidR="00655085" w:rsidRPr="002039DA" w:rsidRDefault="00655085" w:rsidP="00655085">
            <w:pPr>
              <w:rPr>
                <w:color w:val="000000"/>
                <w:sz w:val="22"/>
                <w:szCs w:val="22"/>
              </w:rPr>
            </w:pPr>
            <w:r w:rsidRPr="002039DA">
              <w:rPr>
                <w:color w:val="000000"/>
                <w:sz w:val="22"/>
                <w:szCs w:val="22"/>
              </w:rPr>
              <w:t>Корисна довжина катетера не менше 336-338 мм.</w:t>
            </w:r>
          </w:p>
          <w:p w:rsidR="00655085" w:rsidRPr="002039DA" w:rsidRDefault="00655085" w:rsidP="00655085">
            <w:pPr>
              <w:rPr>
                <w:color w:val="000000"/>
                <w:sz w:val="22"/>
                <w:szCs w:val="22"/>
              </w:rPr>
            </w:pPr>
            <w:r w:rsidRPr="002039DA">
              <w:rPr>
                <w:color w:val="000000"/>
                <w:sz w:val="22"/>
                <w:szCs w:val="22"/>
              </w:rPr>
              <w:t xml:space="preserve">Розміри Fr: 18.  </w:t>
            </w:r>
          </w:p>
          <w:p w:rsidR="00655085" w:rsidRPr="002039DA" w:rsidRDefault="00655085" w:rsidP="00655085">
            <w:pPr>
              <w:rPr>
                <w:color w:val="000000"/>
                <w:sz w:val="22"/>
                <w:szCs w:val="22"/>
              </w:rPr>
            </w:pPr>
            <w:r w:rsidRPr="002039DA">
              <w:rPr>
                <w:color w:val="000000"/>
                <w:sz w:val="22"/>
                <w:szCs w:val="22"/>
              </w:rPr>
              <w:t>Кольорове кодування розмірів.</w:t>
            </w:r>
          </w:p>
          <w:p w:rsidR="00655085" w:rsidRPr="002039DA" w:rsidRDefault="00655085" w:rsidP="00655085">
            <w:pPr>
              <w:rPr>
                <w:color w:val="000000"/>
                <w:sz w:val="22"/>
                <w:szCs w:val="22"/>
              </w:rPr>
            </w:pPr>
            <w:r w:rsidRPr="002039DA">
              <w:rPr>
                <w:color w:val="000000"/>
                <w:sz w:val="22"/>
                <w:szCs w:val="22"/>
              </w:rPr>
              <w:t>Стерильний, апірогенний та нетоксичний.</w:t>
            </w:r>
          </w:p>
          <w:p w:rsidR="00655085" w:rsidRPr="002039DA" w:rsidRDefault="00655085" w:rsidP="00655085">
            <w:pPr>
              <w:rPr>
                <w:color w:val="000000"/>
                <w:sz w:val="22"/>
                <w:szCs w:val="22"/>
              </w:rPr>
            </w:pPr>
            <w:r w:rsidRPr="002039DA">
              <w:rPr>
                <w:color w:val="000000"/>
                <w:sz w:val="22"/>
                <w:szCs w:val="22"/>
              </w:rPr>
              <w:t>Для одноразового використання.</w:t>
            </w:r>
          </w:p>
          <w:p w:rsidR="00655085" w:rsidRPr="002039DA" w:rsidRDefault="00655085" w:rsidP="00655085">
            <w:pPr>
              <w:rPr>
                <w:color w:val="000000"/>
                <w:sz w:val="22"/>
                <w:szCs w:val="22"/>
              </w:rPr>
            </w:pPr>
            <w:r w:rsidRPr="002039DA">
              <w:rPr>
                <w:color w:val="000000"/>
                <w:sz w:val="22"/>
                <w:szCs w:val="22"/>
              </w:rPr>
              <w:t>Індивідуальне пакування.</w:t>
            </w:r>
          </w:p>
          <w:p w:rsidR="00706822" w:rsidRPr="002039DA" w:rsidRDefault="00655085" w:rsidP="00655085">
            <w:pPr>
              <w:rPr>
                <w:color w:val="000000"/>
                <w:sz w:val="22"/>
                <w:szCs w:val="22"/>
              </w:rPr>
            </w:pPr>
            <w:r w:rsidRPr="002039DA">
              <w:rPr>
                <w:color w:val="000000"/>
                <w:sz w:val="22"/>
                <w:szCs w:val="22"/>
              </w:rPr>
              <w:t>Відповідає вимогам стандарту ISO 20696.</w:t>
            </w:r>
          </w:p>
        </w:tc>
        <w:tc>
          <w:tcPr>
            <w:tcW w:w="1737" w:type="dxa"/>
            <w:tcBorders>
              <w:top w:val="single" w:sz="4" w:space="0" w:color="auto"/>
              <w:left w:val="single" w:sz="4" w:space="0" w:color="auto"/>
              <w:bottom w:val="single" w:sz="4" w:space="0" w:color="auto"/>
              <w:right w:val="single" w:sz="4" w:space="0" w:color="auto"/>
            </w:tcBorders>
          </w:tcPr>
          <w:p w:rsidR="00706822" w:rsidRPr="000242DE" w:rsidRDefault="00706822">
            <w:pPr>
              <w:jc w:val="both"/>
              <w:rPr>
                <w:sz w:val="22"/>
                <w:szCs w:val="22"/>
              </w:rPr>
            </w:pPr>
          </w:p>
        </w:tc>
      </w:tr>
      <w:tr w:rsidR="00706822" w:rsidRPr="000242DE" w:rsidTr="0048706C">
        <w:trPr>
          <w:jc w:val="center"/>
        </w:trPr>
        <w:tc>
          <w:tcPr>
            <w:tcW w:w="2890" w:type="dxa"/>
          </w:tcPr>
          <w:p w:rsidR="00706822" w:rsidRPr="002039DA" w:rsidRDefault="00655085" w:rsidP="007837C8">
            <w:pPr>
              <w:rPr>
                <w:color w:val="000000"/>
                <w:sz w:val="22"/>
                <w:szCs w:val="22"/>
              </w:rPr>
            </w:pPr>
            <w:r w:rsidRPr="002039DA">
              <w:rPr>
                <w:color w:val="000000"/>
                <w:sz w:val="22"/>
                <w:szCs w:val="22"/>
              </w:rPr>
              <w:t>Голка для спінальної анестезії  (тип вістря «Квінке»); розмір 25G x 3 ½ (0,5мм x 88мм)</w:t>
            </w:r>
          </w:p>
        </w:tc>
        <w:tc>
          <w:tcPr>
            <w:tcW w:w="5687" w:type="dxa"/>
            <w:tcBorders>
              <w:top w:val="single" w:sz="4" w:space="0" w:color="auto"/>
              <w:left w:val="single" w:sz="4" w:space="0" w:color="auto"/>
              <w:bottom w:val="single" w:sz="4" w:space="0" w:color="auto"/>
              <w:right w:val="single" w:sz="4" w:space="0" w:color="auto"/>
            </w:tcBorders>
          </w:tcPr>
          <w:p w:rsidR="00655085" w:rsidRPr="002039DA" w:rsidRDefault="00655085" w:rsidP="00655085">
            <w:pPr>
              <w:rPr>
                <w:sz w:val="22"/>
                <w:szCs w:val="22"/>
              </w:rPr>
            </w:pPr>
            <w:r w:rsidRPr="002039DA">
              <w:rPr>
                <w:sz w:val="22"/>
                <w:szCs w:val="22"/>
              </w:rPr>
              <w:t>Голка для спінальної анестезії (тип вістря «Квінке»)</w:t>
            </w:r>
          </w:p>
          <w:p w:rsidR="00655085" w:rsidRPr="002039DA" w:rsidRDefault="00655085" w:rsidP="00655085">
            <w:pPr>
              <w:rPr>
                <w:sz w:val="22"/>
                <w:szCs w:val="22"/>
              </w:rPr>
            </w:pPr>
            <w:r w:rsidRPr="002039DA">
              <w:rPr>
                <w:sz w:val="22"/>
                <w:szCs w:val="22"/>
              </w:rPr>
              <w:t>Для люмбальної пункції  та введення медичних розчинів в субарахноїдальний простір при проведенні спінальної анестезії.</w:t>
            </w:r>
          </w:p>
          <w:p w:rsidR="00655085" w:rsidRPr="002039DA" w:rsidRDefault="00655085" w:rsidP="00655085">
            <w:pPr>
              <w:rPr>
                <w:sz w:val="22"/>
                <w:szCs w:val="22"/>
              </w:rPr>
            </w:pPr>
            <w:r w:rsidRPr="002039DA">
              <w:rPr>
                <w:sz w:val="22"/>
                <w:szCs w:val="22"/>
              </w:rPr>
              <w:t xml:space="preserve">Комплектація: голка, стилет та захисна трубка. </w:t>
            </w:r>
          </w:p>
          <w:p w:rsidR="00655085" w:rsidRPr="002039DA" w:rsidRDefault="00655085" w:rsidP="00655085">
            <w:pPr>
              <w:rPr>
                <w:sz w:val="22"/>
                <w:szCs w:val="22"/>
              </w:rPr>
            </w:pPr>
            <w:r w:rsidRPr="002039DA">
              <w:rPr>
                <w:sz w:val="22"/>
                <w:szCs w:val="22"/>
              </w:rPr>
              <w:t>Тип вістря: Квінке.</w:t>
            </w:r>
          </w:p>
          <w:p w:rsidR="00655085" w:rsidRPr="002039DA" w:rsidRDefault="00655085" w:rsidP="00655085">
            <w:pPr>
              <w:rPr>
                <w:sz w:val="22"/>
                <w:szCs w:val="22"/>
              </w:rPr>
            </w:pPr>
            <w:r w:rsidRPr="002039DA">
              <w:rPr>
                <w:sz w:val="22"/>
                <w:szCs w:val="22"/>
              </w:rPr>
              <w:t xml:space="preserve">Розміри: </w:t>
            </w:r>
          </w:p>
          <w:p w:rsidR="00655085" w:rsidRPr="002039DA" w:rsidRDefault="00655085" w:rsidP="00655085">
            <w:pPr>
              <w:rPr>
                <w:sz w:val="22"/>
                <w:szCs w:val="22"/>
              </w:rPr>
            </w:pPr>
            <w:r w:rsidRPr="002039DA">
              <w:rPr>
                <w:sz w:val="22"/>
                <w:szCs w:val="22"/>
              </w:rPr>
              <w:t>- 25G x 3 ½ (0,5мм x 88мм)</w:t>
            </w:r>
          </w:p>
          <w:p w:rsidR="00655085" w:rsidRPr="002039DA" w:rsidRDefault="00655085" w:rsidP="00655085">
            <w:pPr>
              <w:rPr>
                <w:sz w:val="22"/>
                <w:szCs w:val="22"/>
              </w:rPr>
            </w:pPr>
            <w:r w:rsidRPr="002039DA">
              <w:rPr>
                <w:sz w:val="22"/>
                <w:szCs w:val="22"/>
              </w:rPr>
              <w:t>Термін використання 5 років з дати виготовлення, вказаної на упаковці.</w:t>
            </w:r>
          </w:p>
          <w:p w:rsidR="00655085" w:rsidRPr="002039DA" w:rsidRDefault="00655085" w:rsidP="00655085">
            <w:pPr>
              <w:rPr>
                <w:sz w:val="22"/>
                <w:szCs w:val="22"/>
              </w:rPr>
            </w:pPr>
            <w:r w:rsidRPr="002039DA">
              <w:rPr>
                <w:sz w:val="22"/>
                <w:szCs w:val="22"/>
              </w:rPr>
              <w:t>Стерильна, апірогенна, нетоксична.</w:t>
            </w:r>
          </w:p>
          <w:p w:rsidR="00655085" w:rsidRPr="002039DA" w:rsidRDefault="00655085" w:rsidP="00655085">
            <w:pPr>
              <w:rPr>
                <w:sz w:val="22"/>
                <w:szCs w:val="22"/>
              </w:rPr>
            </w:pPr>
            <w:r w:rsidRPr="002039DA">
              <w:rPr>
                <w:sz w:val="22"/>
                <w:szCs w:val="22"/>
              </w:rPr>
              <w:t>Індивідуальне пакування.</w:t>
            </w:r>
          </w:p>
          <w:p w:rsidR="00706822" w:rsidRPr="002039DA" w:rsidRDefault="00655085" w:rsidP="00655085">
            <w:pPr>
              <w:rPr>
                <w:sz w:val="22"/>
                <w:szCs w:val="22"/>
              </w:rPr>
            </w:pPr>
            <w:r w:rsidRPr="002039DA">
              <w:rPr>
                <w:sz w:val="22"/>
                <w:szCs w:val="22"/>
              </w:rPr>
              <w:t>Для одноразового використання.</w:t>
            </w:r>
          </w:p>
        </w:tc>
        <w:tc>
          <w:tcPr>
            <w:tcW w:w="1737" w:type="dxa"/>
            <w:tcBorders>
              <w:top w:val="single" w:sz="4" w:space="0" w:color="auto"/>
              <w:left w:val="single" w:sz="4" w:space="0" w:color="auto"/>
              <w:bottom w:val="single" w:sz="4" w:space="0" w:color="auto"/>
              <w:right w:val="single" w:sz="4" w:space="0" w:color="auto"/>
            </w:tcBorders>
          </w:tcPr>
          <w:p w:rsidR="00706822" w:rsidRPr="000242DE" w:rsidRDefault="00706822">
            <w:pPr>
              <w:jc w:val="both"/>
              <w:rPr>
                <w:sz w:val="22"/>
                <w:szCs w:val="22"/>
              </w:rPr>
            </w:pPr>
          </w:p>
        </w:tc>
      </w:tr>
      <w:tr w:rsidR="00364CA4" w:rsidRPr="00364CA4" w:rsidTr="0048706C">
        <w:trPr>
          <w:jc w:val="center"/>
        </w:trPr>
        <w:tc>
          <w:tcPr>
            <w:tcW w:w="2890" w:type="dxa"/>
          </w:tcPr>
          <w:p w:rsidR="00364CA4" w:rsidRPr="002039DA" w:rsidRDefault="00655085" w:rsidP="007837C8">
            <w:pPr>
              <w:rPr>
                <w:color w:val="000000"/>
                <w:sz w:val="22"/>
                <w:szCs w:val="22"/>
              </w:rPr>
            </w:pPr>
            <w:r w:rsidRPr="002039DA">
              <w:rPr>
                <w:color w:val="000000"/>
                <w:sz w:val="22"/>
                <w:szCs w:val="22"/>
              </w:rPr>
              <w:t>Голка для спінальної анестезії (тип вістря «Квінке»); розмір 22G x 3 ½ (0,7мм x 88мм)</w:t>
            </w:r>
          </w:p>
        </w:tc>
        <w:tc>
          <w:tcPr>
            <w:tcW w:w="5687" w:type="dxa"/>
            <w:tcBorders>
              <w:top w:val="single" w:sz="4" w:space="0" w:color="auto"/>
              <w:left w:val="single" w:sz="4" w:space="0" w:color="auto"/>
              <w:bottom w:val="single" w:sz="4" w:space="0" w:color="auto"/>
              <w:right w:val="single" w:sz="4" w:space="0" w:color="auto"/>
            </w:tcBorders>
          </w:tcPr>
          <w:p w:rsidR="00655085" w:rsidRPr="002039DA" w:rsidRDefault="00655085" w:rsidP="00655085">
            <w:pPr>
              <w:rPr>
                <w:sz w:val="22"/>
                <w:szCs w:val="22"/>
              </w:rPr>
            </w:pPr>
            <w:r w:rsidRPr="002039DA">
              <w:rPr>
                <w:sz w:val="22"/>
                <w:szCs w:val="22"/>
              </w:rPr>
              <w:t>Голка для спінальної анестезії (тип вістря «Квінке»)</w:t>
            </w:r>
          </w:p>
          <w:p w:rsidR="00655085" w:rsidRPr="002039DA" w:rsidRDefault="00655085" w:rsidP="00655085">
            <w:pPr>
              <w:rPr>
                <w:sz w:val="22"/>
                <w:szCs w:val="22"/>
              </w:rPr>
            </w:pPr>
            <w:r w:rsidRPr="002039DA">
              <w:rPr>
                <w:sz w:val="22"/>
                <w:szCs w:val="22"/>
              </w:rPr>
              <w:t>Для люмбальної пункції  та введення медичних розчинів в субарахноїдальний простір при проведенні спінальної анестезії.</w:t>
            </w:r>
          </w:p>
          <w:p w:rsidR="00655085" w:rsidRPr="002039DA" w:rsidRDefault="00655085" w:rsidP="00655085">
            <w:pPr>
              <w:rPr>
                <w:sz w:val="22"/>
                <w:szCs w:val="22"/>
              </w:rPr>
            </w:pPr>
            <w:r w:rsidRPr="002039DA">
              <w:rPr>
                <w:sz w:val="22"/>
                <w:szCs w:val="22"/>
              </w:rPr>
              <w:t xml:space="preserve">Комплектація: голка, стилет та захисна трубка. </w:t>
            </w:r>
          </w:p>
          <w:p w:rsidR="00655085" w:rsidRPr="002039DA" w:rsidRDefault="00655085" w:rsidP="00655085">
            <w:pPr>
              <w:rPr>
                <w:sz w:val="22"/>
                <w:szCs w:val="22"/>
              </w:rPr>
            </w:pPr>
            <w:r w:rsidRPr="002039DA">
              <w:rPr>
                <w:sz w:val="22"/>
                <w:szCs w:val="22"/>
              </w:rPr>
              <w:t>Тип вістря: Квінке.</w:t>
            </w:r>
          </w:p>
          <w:p w:rsidR="00655085" w:rsidRPr="002039DA" w:rsidRDefault="00655085" w:rsidP="00655085">
            <w:pPr>
              <w:rPr>
                <w:sz w:val="22"/>
                <w:szCs w:val="22"/>
              </w:rPr>
            </w:pPr>
            <w:r w:rsidRPr="002039DA">
              <w:rPr>
                <w:sz w:val="22"/>
                <w:szCs w:val="22"/>
              </w:rPr>
              <w:t xml:space="preserve">Розміри: </w:t>
            </w:r>
          </w:p>
          <w:p w:rsidR="00655085" w:rsidRPr="002039DA" w:rsidRDefault="00655085" w:rsidP="00655085">
            <w:pPr>
              <w:rPr>
                <w:sz w:val="22"/>
                <w:szCs w:val="22"/>
              </w:rPr>
            </w:pPr>
            <w:r w:rsidRPr="002039DA">
              <w:rPr>
                <w:sz w:val="22"/>
                <w:szCs w:val="22"/>
              </w:rPr>
              <w:t>- 22G x 3 ½ (0,7мм x 88мм)</w:t>
            </w:r>
          </w:p>
          <w:p w:rsidR="00655085" w:rsidRPr="002039DA" w:rsidRDefault="00655085" w:rsidP="00655085">
            <w:pPr>
              <w:rPr>
                <w:sz w:val="22"/>
                <w:szCs w:val="22"/>
              </w:rPr>
            </w:pPr>
            <w:r w:rsidRPr="002039DA">
              <w:rPr>
                <w:sz w:val="22"/>
                <w:szCs w:val="22"/>
              </w:rPr>
              <w:t>Термін використання 5 років з дати виготовлення, вказаної на упаковці.</w:t>
            </w:r>
          </w:p>
          <w:p w:rsidR="00655085" w:rsidRPr="002039DA" w:rsidRDefault="00655085" w:rsidP="00655085">
            <w:pPr>
              <w:rPr>
                <w:sz w:val="22"/>
                <w:szCs w:val="22"/>
              </w:rPr>
            </w:pPr>
            <w:r w:rsidRPr="002039DA">
              <w:rPr>
                <w:sz w:val="22"/>
                <w:szCs w:val="22"/>
              </w:rPr>
              <w:t>Стерильна, апірогенна, нетоксична.</w:t>
            </w:r>
          </w:p>
          <w:p w:rsidR="00655085" w:rsidRPr="002039DA" w:rsidRDefault="00655085" w:rsidP="00655085">
            <w:pPr>
              <w:rPr>
                <w:sz w:val="22"/>
                <w:szCs w:val="22"/>
              </w:rPr>
            </w:pPr>
            <w:r w:rsidRPr="002039DA">
              <w:rPr>
                <w:sz w:val="22"/>
                <w:szCs w:val="22"/>
              </w:rPr>
              <w:t>Індивідуальне пакування.</w:t>
            </w:r>
          </w:p>
          <w:p w:rsidR="00364CA4" w:rsidRPr="002039DA" w:rsidRDefault="00655085" w:rsidP="00655085">
            <w:pPr>
              <w:rPr>
                <w:sz w:val="22"/>
                <w:szCs w:val="22"/>
              </w:rPr>
            </w:pPr>
            <w:r w:rsidRPr="002039DA">
              <w:rPr>
                <w:sz w:val="22"/>
                <w:szCs w:val="22"/>
              </w:rPr>
              <w:t>Для одноразового використання.</w:t>
            </w:r>
          </w:p>
        </w:tc>
        <w:tc>
          <w:tcPr>
            <w:tcW w:w="1737" w:type="dxa"/>
            <w:tcBorders>
              <w:top w:val="single" w:sz="4" w:space="0" w:color="auto"/>
              <w:left w:val="single" w:sz="4" w:space="0" w:color="auto"/>
              <w:bottom w:val="single" w:sz="4" w:space="0" w:color="auto"/>
              <w:right w:val="single" w:sz="4" w:space="0" w:color="auto"/>
            </w:tcBorders>
          </w:tcPr>
          <w:p w:rsidR="00364CA4" w:rsidRPr="00364CA4" w:rsidRDefault="00364CA4">
            <w:pPr>
              <w:jc w:val="both"/>
              <w:rPr>
                <w:sz w:val="22"/>
                <w:szCs w:val="22"/>
              </w:rPr>
            </w:pPr>
          </w:p>
        </w:tc>
      </w:tr>
    </w:tbl>
    <w:p w:rsidR="00D1705F" w:rsidRDefault="00D1705F" w:rsidP="000717BB">
      <w:pPr>
        <w:tabs>
          <w:tab w:val="left" w:pos="979"/>
        </w:tabs>
        <w:rPr>
          <w:sz w:val="22"/>
          <w:szCs w:val="22"/>
        </w:rPr>
      </w:pPr>
    </w:p>
    <w:p w:rsidR="000638DD" w:rsidRDefault="000638DD" w:rsidP="000717BB">
      <w:pPr>
        <w:tabs>
          <w:tab w:val="left" w:pos="979"/>
        </w:tabs>
        <w:rPr>
          <w:sz w:val="22"/>
          <w:szCs w:val="22"/>
        </w:rPr>
      </w:pPr>
    </w:p>
    <w:p w:rsidR="0006430E" w:rsidRPr="0006430E" w:rsidRDefault="0006430E" w:rsidP="0006430E">
      <w:pPr>
        <w:tabs>
          <w:tab w:val="left" w:pos="979"/>
        </w:tabs>
        <w:rPr>
          <w:b/>
          <w:sz w:val="22"/>
          <w:szCs w:val="22"/>
        </w:rPr>
      </w:pPr>
    </w:p>
    <w:p w:rsidR="0006430E" w:rsidRPr="0006430E" w:rsidRDefault="0006430E" w:rsidP="0006430E">
      <w:pPr>
        <w:tabs>
          <w:tab w:val="left" w:pos="979"/>
        </w:tabs>
        <w:rPr>
          <w:i/>
          <w:iCs/>
          <w:sz w:val="22"/>
          <w:szCs w:val="22"/>
        </w:rPr>
      </w:pPr>
      <w:r w:rsidRPr="0006430E">
        <w:rPr>
          <w:i/>
          <w:iCs/>
          <w:sz w:val="22"/>
          <w:szCs w:val="22"/>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06430E" w:rsidRPr="0006430E" w:rsidRDefault="0006430E" w:rsidP="0006430E">
      <w:pPr>
        <w:tabs>
          <w:tab w:val="left" w:pos="979"/>
        </w:tabs>
        <w:rPr>
          <w:sz w:val="22"/>
          <w:szCs w:val="22"/>
        </w:rPr>
      </w:pPr>
    </w:p>
    <w:p w:rsidR="00FF1547" w:rsidRDefault="00FF1547" w:rsidP="000717BB">
      <w:pPr>
        <w:tabs>
          <w:tab w:val="left" w:pos="979"/>
        </w:tabs>
        <w:rPr>
          <w:sz w:val="22"/>
          <w:szCs w:val="22"/>
        </w:rPr>
      </w:pPr>
    </w:p>
    <w:p w:rsidR="00FF1547" w:rsidRDefault="00FF1547" w:rsidP="00FF1547">
      <w:pPr>
        <w:tabs>
          <w:tab w:val="left" w:pos="979"/>
        </w:tabs>
        <w:jc w:val="center"/>
        <w:rPr>
          <w:b/>
          <w:sz w:val="22"/>
          <w:szCs w:val="22"/>
          <w:lang w:bidi="uk-UA"/>
        </w:rPr>
      </w:pPr>
      <w:r w:rsidRPr="00FF1547">
        <w:rPr>
          <w:b/>
          <w:sz w:val="22"/>
          <w:szCs w:val="22"/>
        </w:rPr>
        <w:t xml:space="preserve">МЕДИКО-ТЕХНІЧНІ ВИМОГИ </w:t>
      </w:r>
      <w:r w:rsidR="0087657E">
        <w:rPr>
          <w:b/>
          <w:sz w:val="22"/>
          <w:szCs w:val="22"/>
        </w:rPr>
        <w:t>до Лоту</w:t>
      </w:r>
      <w:r w:rsidRPr="00FF1547">
        <w:rPr>
          <w:b/>
          <w:sz w:val="22"/>
          <w:szCs w:val="22"/>
        </w:rPr>
        <w:t xml:space="preserve"> № </w:t>
      </w:r>
      <w:r>
        <w:rPr>
          <w:b/>
          <w:sz w:val="22"/>
          <w:szCs w:val="22"/>
        </w:rPr>
        <w:t xml:space="preserve">2 </w:t>
      </w:r>
      <w:r w:rsidR="00EE71AC">
        <w:rPr>
          <w:b/>
          <w:sz w:val="22"/>
          <w:szCs w:val="22"/>
        </w:rPr>
        <w:t>–</w:t>
      </w:r>
      <w:r w:rsidR="0006430E">
        <w:rPr>
          <w:b/>
          <w:sz w:val="22"/>
          <w:szCs w:val="22"/>
        </w:rPr>
        <w:t xml:space="preserve"> </w:t>
      </w:r>
      <w:r w:rsidR="00056E69" w:rsidRPr="00056E69">
        <w:rPr>
          <w:b/>
          <w:sz w:val="22"/>
          <w:szCs w:val="22"/>
          <w:lang w:bidi="uk-UA"/>
        </w:rPr>
        <w:t>Система для ентерального харчування</w:t>
      </w:r>
    </w:p>
    <w:p w:rsidR="000C1AC8" w:rsidRDefault="000C1AC8" w:rsidP="00FF1547">
      <w:pPr>
        <w:tabs>
          <w:tab w:val="left" w:pos="979"/>
        </w:tabs>
        <w:jc w:val="center"/>
        <w:rPr>
          <w:b/>
          <w:sz w:val="22"/>
          <w:szCs w:val="22"/>
          <w:lang w:bidi="uk-UA"/>
        </w:rPr>
      </w:pPr>
    </w:p>
    <w:tbl>
      <w:tblPr>
        <w:tblStyle w:val="ae"/>
        <w:tblW w:w="0" w:type="auto"/>
        <w:tblLook w:val="04A0" w:firstRow="1" w:lastRow="0" w:firstColumn="1" w:lastColumn="0" w:noHBand="0" w:noVBand="1"/>
      </w:tblPr>
      <w:tblGrid>
        <w:gridCol w:w="1548"/>
        <w:gridCol w:w="1187"/>
        <w:gridCol w:w="1388"/>
        <w:gridCol w:w="3542"/>
        <w:gridCol w:w="2190"/>
      </w:tblGrid>
      <w:tr w:rsidR="00492DA4" w:rsidTr="00492DA4">
        <w:tc>
          <w:tcPr>
            <w:tcW w:w="1548" w:type="dxa"/>
          </w:tcPr>
          <w:p w:rsidR="00492DA4" w:rsidRDefault="00492DA4" w:rsidP="00FF1547">
            <w:pPr>
              <w:tabs>
                <w:tab w:val="left" w:pos="979"/>
              </w:tabs>
              <w:jc w:val="center"/>
              <w:rPr>
                <w:b/>
                <w:sz w:val="22"/>
                <w:szCs w:val="22"/>
              </w:rPr>
            </w:pPr>
            <w:r>
              <w:rPr>
                <w:b/>
                <w:sz w:val="22"/>
                <w:szCs w:val="22"/>
              </w:rPr>
              <w:t>Назва предмету закупівлі</w:t>
            </w:r>
          </w:p>
        </w:tc>
        <w:tc>
          <w:tcPr>
            <w:tcW w:w="1187" w:type="dxa"/>
          </w:tcPr>
          <w:p w:rsidR="00492DA4" w:rsidRDefault="00492DA4" w:rsidP="00FF1547">
            <w:pPr>
              <w:tabs>
                <w:tab w:val="left" w:pos="979"/>
              </w:tabs>
              <w:jc w:val="center"/>
              <w:rPr>
                <w:b/>
                <w:sz w:val="22"/>
                <w:szCs w:val="22"/>
              </w:rPr>
            </w:pPr>
            <w:r>
              <w:rPr>
                <w:b/>
                <w:sz w:val="22"/>
                <w:szCs w:val="22"/>
              </w:rPr>
              <w:t>Кількість</w:t>
            </w:r>
          </w:p>
        </w:tc>
        <w:tc>
          <w:tcPr>
            <w:tcW w:w="1388" w:type="dxa"/>
          </w:tcPr>
          <w:p w:rsidR="00492DA4" w:rsidRDefault="00492DA4" w:rsidP="00FF1547">
            <w:pPr>
              <w:tabs>
                <w:tab w:val="left" w:pos="979"/>
              </w:tabs>
              <w:jc w:val="center"/>
              <w:rPr>
                <w:b/>
                <w:sz w:val="22"/>
                <w:szCs w:val="22"/>
              </w:rPr>
            </w:pPr>
            <w:r>
              <w:rPr>
                <w:b/>
                <w:sz w:val="22"/>
                <w:szCs w:val="22"/>
              </w:rPr>
              <w:t>Одиниця виміру</w:t>
            </w:r>
          </w:p>
        </w:tc>
        <w:tc>
          <w:tcPr>
            <w:tcW w:w="3542" w:type="dxa"/>
          </w:tcPr>
          <w:p w:rsidR="00492DA4" w:rsidRDefault="00492DA4" w:rsidP="00FF1547">
            <w:pPr>
              <w:tabs>
                <w:tab w:val="left" w:pos="979"/>
              </w:tabs>
              <w:jc w:val="center"/>
              <w:rPr>
                <w:b/>
                <w:sz w:val="22"/>
                <w:szCs w:val="22"/>
              </w:rPr>
            </w:pPr>
            <w:r>
              <w:rPr>
                <w:b/>
                <w:sz w:val="22"/>
                <w:szCs w:val="22"/>
              </w:rPr>
              <w:t>Технічний опис</w:t>
            </w:r>
          </w:p>
        </w:tc>
        <w:tc>
          <w:tcPr>
            <w:tcW w:w="2190" w:type="dxa"/>
          </w:tcPr>
          <w:p w:rsidR="00492DA4" w:rsidRDefault="00492DA4" w:rsidP="00FF1547">
            <w:pPr>
              <w:tabs>
                <w:tab w:val="left" w:pos="979"/>
              </w:tabs>
              <w:jc w:val="center"/>
              <w:rPr>
                <w:b/>
                <w:sz w:val="22"/>
                <w:szCs w:val="22"/>
              </w:rPr>
            </w:pPr>
            <w:r w:rsidRPr="00492DA4">
              <w:rPr>
                <w:b/>
                <w:sz w:val="22"/>
                <w:szCs w:val="22"/>
              </w:rPr>
              <w:t>НК 024</w:t>
            </w:r>
            <w:r w:rsidRPr="00492DA4">
              <w:rPr>
                <w:b/>
                <w:sz w:val="22"/>
                <w:szCs w:val="22"/>
                <w:lang w:val="en-US"/>
              </w:rPr>
              <w:t>:2019</w:t>
            </w:r>
          </w:p>
        </w:tc>
      </w:tr>
      <w:tr w:rsidR="00492DA4" w:rsidTr="00492DA4">
        <w:tc>
          <w:tcPr>
            <w:tcW w:w="1548" w:type="dxa"/>
          </w:tcPr>
          <w:p w:rsidR="00492DA4" w:rsidRPr="006D651F" w:rsidRDefault="00492DA4" w:rsidP="00FF1547">
            <w:pPr>
              <w:tabs>
                <w:tab w:val="left" w:pos="979"/>
              </w:tabs>
              <w:jc w:val="center"/>
              <w:rPr>
                <w:bCs/>
                <w:sz w:val="22"/>
                <w:szCs w:val="22"/>
              </w:rPr>
            </w:pPr>
            <w:r w:rsidRPr="006D651F">
              <w:rPr>
                <w:bCs/>
                <w:sz w:val="22"/>
                <w:szCs w:val="22"/>
                <w:lang w:bidi="uk-UA"/>
              </w:rPr>
              <w:t>Система для ентерального харчування</w:t>
            </w:r>
          </w:p>
        </w:tc>
        <w:tc>
          <w:tcPr>
            <w:tcW w:w="1187" w:type="dxa"/>
          </w:tcPr>
          <w:p w:rsidR="00492DA4" w:rsidRPr="006D651F" w:rsidRDefault="00492DA4" w:rsidP="00FF1547">
            <w:pPr>
              <w:tabs>
                <w:tab w:val="left" w:pos="979"/>
              </w:tabs>
              <w:jc w:val="center"/>
              <w:rPr>
                <w:bCs/>
                <w:sz w:val="22"/>
                <w:szCs w:val="22"/>
              </w:rPr>
            </w:pPr>
            <w:r w:rsidRPr="006D651F">
              <w:rPr>
                <w:bCs/>
                <w:sz w:val="22"/>
                <w:szCs w:val="22"/>
              </w:rPr>
              <w:t>150</w:t>
            </w:r>
          </w:p>
        </w:tc>
        <w:tc>
          <w:tcPr>
            <w:tcW w:w="1388" w:type="dxa"/>
          </w:tcPr>
          <w:p w:rsidR="00492DA4" w:rsidRPr="006D651F" w:rsidRDefault="00492DA4" w:rsidP="00FF1547">
            <w:pPr>
              <w:tabs>
                <w:tab w:val="left" w:pos="979"/>
              </w:tabs>
              <w:jc w:val="center"/>
              <w:rPr>
                <w:bCs/>
                <w:sz w:val="22"/>
                <w:szCs w:val="22"/>
              </w:rPr>
            </w:pPr>
            <w:r w:rsidRPr="006D651F">
              <w:rPr>
                <w:bCs/>
                <w:sz w:val="22"/>
                <w:szCs w:val="22"/>
              </w:rPr>
              <w:t>Штуки</w:t>
            </w:r>
          </w:p>
        </w:tc>
        <w:tc>
          <w:tcPr>
            <w:tcW w:w="3542" w:type="dxa"/>
          </w:tcPr>
          <w:p w:rsidR="00492DA4" w:rsidRPr="006D651F" w:rsidRDefault="00492DA4" w:rsidP="006D651F">
            <w:pPr>
              <w:pStyle w:val="af"/>
              <w:numPr>
                <w:ilvl w:val="0"/>
                <w:numId w:val="4"/>
              </w:numPr>
              <w:tabs>
                <w:tab w:val="left" w:pos="979"/>
              </w:tabs>
              <w:rPr>
                <w:bCs/>
                <w:sz w:val="22"/>
                <w:szCs w:val="22"/>
                <w:lang w:bidi="uk-UA"/>
              </w:rPr>
            </w:pPr>
            <w:r w:rsidRPr="006D651F">
              <w:rPr>
                <w:bCs/>
                <w:sz w:val="22"/>
                <w:szCs w:val="22"/>
                <w:lang w:bidi="uk-UA"/>
              </w:rPr>
              <w:t>Система для введення ентерального харчування з універсальним адаптером, що дозволяє приєднувати ємкості із горловиною різного діаметру</w:t>
            </w:r>
            <w:r>
              <w:rPr>
                <w:bCs/>
                <w:sz w:val="22"/>
                <w:szCs w:val="22"/>
                <w:lang w:bidi="uk-UA"/>
              </w:rPr>
              <w:t>;</w:t>
            </w:r>
          </w:p>
          <w:p w:rsidR="00492DA4" w:rsidRDefault="00492DA4" w:rsidP="006D651F">
            <w:pPr>
              <w:pStyle w:val="af"/>
              <w:numPr>
                <w:ilvl w:val="0"/>
                <w:numId w:val="4"/>
              </w:numPr>
              <w:tabs>
                <w:tab w:val="left" w:pos="979"/>
              </w:tabs>
              <w:rPr>
                <w:bCs/>
                <w:sz w:val="22"/>
                <w:szCs w:val="22"/>
                <w:lang w:bidi="uk-UA"/>
              </w:rPr>
            </w:pPr>
            <w:r w:rsidRPr="006D651F">
              <w:rPr>
                <w:bCs/>
                <w:sz w:val="22"/>
                <w:szCs w:val="22"/>
                <w:lang w:bidi="uk-UA"/>
              </w:rPr>
              <w:t>Система дає можливість вводити додаткові інгредієнти і промивати зонд пацієнта через додатковий порт</w:t>
            </w:r>
            <w:r>
              <w:rPr>
                <w:bCs/>
                <w:sz w:val="22"/>
                <w:szCs w:val="22"/>
                <w:lang w:bidi="uk-UA"/>
              </w:rPr>
              <w:t>;</w:t>
            </w:r>
          </w:p>
          <w:p w:rsidR="00492DA4" w:rsidRDefault="00492DA4" w:rsidP="0011043C">
            <w:pPr>
              <w:pStyle w:val="af"/>
              <w:numPr>
                <w:ilvl w:val="0"/>
                <w:numId w:val="4"/>
              </w:numPr>
              <w:tabs>
                <w:tab w:val="left" w:pos="979"/>
              </w:tabs>
              <w:rPr>
                <w:b/>
                <w:sz w:val="22"/>
                <w:szCs w:val="22"/>
                <w:lang w:bidi="uk-UA"/>
              </w:rPr>
            </w:pPr>
            <w:r w:rsidRPr="0011043C">
              <w:rPr>
                <w:b/>
                <w:sz w:val="22"/>
                <w:szCs w:val="22"/>
                <w:lang w:bidi="uk-UA"/>
              </w:rPr>
              <w:t xml:space="preserve">Сумісна з насосом для ентерального харчування «Ентеропорт плюс» </w:t>
            </w:r>
            <w:r w:rsidRPr="0011043C">
              <w:rPr>
                <w:b/>
                <w:sz w:val="22"/>
                <w:szCs w:val="22"/>
                <w:lang w:bidi="en-US"/>
              </w:rPr>
              <w:t>(Enteroport Plus)</w:t>
            </w:r>
            <w:r>
              <w:rPr>
                <w:b/>
                <w:sz w:val="22"/>
                <w:szCs w:val="22"/>
                <w:lang w:bidi="en-US"/>
              </w:rPr>
              <w:t>;</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Не містить діетилгексилфталат (DEHP);</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Адаптер Луер Лок з конусним коннектором;</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Оснащений конектором для підключення назогастрального зонду або катетеру для годування (типу-мама),;</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Обладнаний роликовим затискачем і крапельною камерою;</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Y-порт для шприців із з'єднанням типу Луер;</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Клас ризику - ІІа</w:t>
            </w:r>
          </w:p>
          <w:p w:rsidR="00492DA4" w:rsidRPr="008D37BE" w:rsidRDefault="00492DA4" w:rsidP="008D37BE">
            <w:pPr>
              <w:pStyle w:val="af"/>
              <w:numPr>
                <w:ilvl w:val="0"/>
                <w:numId w:val="4"/>
              </w:numPr>
              <w:tabs>
                <w:tab w:val="left" w:pos="979"/>
              </w:tabs>
              <w:rPr>
                <w:bCs/>
                <w:sz w:val="22"/>
                <w:szCs w:val="22"/>
                <w:lang w:bidi="uk-UA"/>
              </w:rPr>
            </w:pPr>
            <w:r w:rsidRPr="008D37BE">
              <w:rPr>
                <w:bCs/>
                <w:sz w:val="22"/>
                <w:szCs w:val="22"/>
                <w:lang w:bidi="uk-UA"/>
              </w:rPr>
              <w:t xml:space="preserve">Термін зберігання - 3 роки </w:t>
            </w:r>
          </w:p>
          <w:p w:rsidR="00492DA4" w:rsidRPr="008D37BE" w:rsidRDefault="00492DA4" w:rsidP="004B7D01">
            <w:pPr>
              <w:pStyle w:val="af"/>
              <w:tabs>
                <w:tab w:val="left" w:pos="979"/>
              </w:tabs>
              <w:rPr>
                <w:bCs/>
                <w:sz w:val="22"/>
                <w:szCs w:val="22"/>
                <w:lang w:bidi="uk-UA"/>
              </w:rPr>
            </w:pPr>
          </w:p>
          <w:p w:rsidR="00492DA4" w:rsidRPr="006D651F" w:rsidRDefault="00492DA4" w:rsidP="00455915">
            <w:pPr>
              <w:tabs>
                <w:tab w:val="left" w:pos="979"/>
              </w:tabs>
              <w:jc w:val="center"/>
              <w:rPr>
                <w:bCs/>
                <w:sz w:val="22"/>
                <w:szCs w:val="22"/>
              </w:rPr>
            </w:pPr>
          </w:p>
        </w:tc>
        <w:tc>
          <w:tcPr>
            <w:tcW w:w="2190" w:type="dxa"/>
          </w:tcPr>
          <w:p w:rsidR="00492DA4" w:rsidRPr="006D651F" w:rsidRDefault="00492DA4" w:rsidP="00492DA4">
            <w:pPr>
              <w:pStyle w:val="af"/>
              <w:tabs>
                <w:tab w:val="left" w:pos="979"/>
              </w:tabs>
              <w:rPr>
                <w:bCs/>
                <w:sz w:val="22"/>
                <w:szCs w:val="22"/>
                <w:lang w:bidi="uk-UA"/>
              </w:rPr>
            </w:pPr>
            <w:r>
              <w:rPr>
                <w:bCs/>
                <w:sz w:val="22"/>
                <w:szCs w:val="22"/>
                <w:lang w:bidi="uk-UA"/>
              </w:rPr>
              <w:t>13209</w:t>
            </w:r>
            <w:bookmarkStart w:id="2" w:name="_GoBack"/>
            <w:bookmarkEnd w:id="2"/>
          </w:p>
        </w:tc>
      </w:tr>
    </w:tbl>
    <w:p w:rsidR="000C1AC8" w:rsidRDefault="000C1AC8" w:rsidP="00FF1547">
      <w:pPr>
        <w:tabs>
          <w:tab w:val="left" w:pos="979"/>
        </w:tabs>
        <w:jc w:val="center"/>
        <w:rPr>
          <w:b/>
          <w:sz w:val="22"/>
          <w:szCs w:val="22"/>
        </w:rPr>
      </w:pPr>
    </w:p>
    <w:p w:rsidR="00255625" w:rsidRPr="00255625" w:rsidRDefault="00255625" w:rsidP="00255625">
      <w:pPr>
        <w:tabs>
          <w:tab w:val="left" w:pos="979"/>
        </w:tabs>
        <w:rPr>
          <w:b/>
          <w:bCs/>
          <w:sz w:val="22"/>
          <w:szCs w:val="22"/>
        </w:rPr>
      </w:pPr>
      <w:r w:rsidRPr="00255625">
        <w:rPr>
          <w:sz w:val="22"/>
          <w:szCs w:val="22"/>
        </w:rPr>
        <w:t xml:space="preserve">1. Запропоновані вироби повинні бути дозволені до застосування на території України, що свідчить про їх наявність в Державному реєстрі медичної техніки та виробів медичного призначення </w:t>
      </w:r>
      <w:r w:rsidRPr="00255625">
        <w:rPr>
          <w:b/>
          <w:bCs/>
          <w:sz w:val="22"/>
          <w:szCs w:val="22"/>
        </w:rPr>
        <w:t>(надати гарантійний лист в довільній формі</w:t>
      </w:r>
      <w:r w:rsidRPr="00255625">
        <w:rPr>
          <w:sz w:val="22"/>
          <w:szCs w:val="22"/>
        </w:rPr>
        <w:t>).</w:t>
      </w:r>
    </w:p>
    <w:p w:rsidR="00255625" w:rsidRPr="00255625" w:rsidRDefault="00255625" w:rsidP="00255625">
      <w:pPr>
        <w:tabs>
          <w:tab w:val="left" w:pos="979"/>
        </w:tabs>
        <w:rPr>
          <w:sz w:val="22"/>
          <w:szCs w:val="22"/>
        </w:rPr>
      </w:pPr>
      <w:r w:rsidRPr="00255625">
        <w:rPr>
          <w:sz w:val="22"/>
          <w:szCs w:val="22"/>
        </w:rPr>
        <w:t>2. Постачальник не має права поставляти Товар з наявністю дефектів та після закінчення терміну державної реєстрації. Учасник повинен забезпечувати належні умови зберігання та транспортування Товару (</w:t>
      </w:r>
      <w:r w:rsidRPr="00255625">
        <w:rPr>
          <w:b/>
          <w:bCs/>
          <w:sz w:val="22"/>
          <w:szCs w:val="22"/>
        </w:rPr>
        <w:t>надати гарантійний лист в довільній формі</w:t>
      </w:r>
      <w:r w:rsidRPr="00255625">
        <w:rPr>
          <w:sz w:val="22"/>
          <w:szCs w:val="22"/>
        </w:rPr>
        <w:t>).</w:t>
      </w:r>
    </w:p>
    <w:p w:rsidR="00255625" w:rsidRPr="00255625" w:rsidRDefault="00255625" w:rsidP="00255625">
      <w:pPr>
        <w:tabs>
          <w:tab w:val="left" w:pos="979"/>
        </w:tabs>
        <w:rPr>
          <w:sz w:val="22"/>
          <w:szCs w:val="22"/>
        </w:rPr>
      </w:pPr>
      <w:r w:rsidRPr="00255625">
        <w:rPr>
          <w:sz w:val="22"/>
          <w:szCs w:val="22"/>
        </w:rPr>
        <w:t>3</w:t>
      </w:r>
      <w:r w:rsidRPr="00255625">
        <w:rPr>
          <w:b/>
          <w:sz w:val="22"/>
          <w:szCs w:val="22"/>
        </w:rPr>
        <w:t xml:space="preserve">. </w:t>
      </w:r>
      <w:r w:rsidRPr="00255625">
        <w:rPr>
          <w:sz w:val="22"/>
          <w:szCs w:val="22"/>
        </w:rPr>
        <w:t xml:space="preserve">Учасник надає  оригінал інформаційної  довідки на фірмовому бланку (у разі наявності), складену в довільній формі, про гарантії надання сертифікатів якості та реєстраційних посвідчень на товар, що пропонується, згідно  медико-технічних  вимог  при кожній  поставці товару </w:t>
      </w:r>
      <w:r w:rsidRPr="00255625">
        <w:rPr>
          <w:b/>
          <w:bCs/>
          <w:sz w:val="22"/>
          <w:szCs w:val="22"/>
        </w:rPr>
        <w:t>(надати гарантійний лист в довільній формі).</w:t>
      </w:r>
    </w:p>
    <w:p w:rsidR="00255625" w:rsidRPr="00255625" w:rsidRDefault="00255625" w:rsidP="00255625">
      <w:pPr>
        <w:tabs>
          <w:tab w:val="left" w:pos="979"/>
        </w:tabs>
        <w:rPr>
          <w:b/>
          <w:bCs/>
          <w:sz w:val="22"/>
          <w:szCs w:val="22"/>
        </w:rPr>
      </w:pPr>
      <w:r w:rsidRPr="00255625">
        <w:rPr>
          <w:sz w:val="22"/>
          <w:szCs w:val="22"/>
        </w:rPr>
        <w:lastRenderedPageBreak/>
        <w:t>4. Ціни за одиницю товару запропоновані учасником повинні формуватись, згідно Постанови КМУ від 17.10.2008 р. №955 «Про заходи щодо стабілізації цін на лікарські засоби і вироби медичного призначення» зі змінами (</w:t>
      </w:r>
      <w:r w:rsidRPr="00255625">
        <w:rPr>
          <w:b/>
          <w:bCs/>
          <w:sz w:val="22"/>
          <w:szCs w:val="22"/>
        </w:rPr>
        <w:t>надати гарантійний лист в довільній формі).</w:t>
      </w:r>
    </w:p>
    <w:p w:rsidR="00622734" w:rsidRPr="00622734" w:rsidRDefault="00622734" w:rsidP="00622734">
      <w:pPr>
        <w:tabs>
          <w:tab w:val="left" w:pos="979"/>
        </w:tabs>
        <w:rPr>
          <w:i/>
          <w:iCs/>
          <w:sz w:val="22"/>
          <w:szCs w:val="22"/>
        </w:rPr>
      </w:pPr>
      <w:r w:rsidRPr="00622734">
        <w:rPr>
          <w:i/>
          <w:iCs/>
          <w:sz w:val="22"/>
          <w:szCs w:val="22"/>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EE71AC" w:rsidRPr="000242DE" w:rsidRDefault="00EE71AC" w:rsidP="00255625">
      <w:pPr>
        <w:tabs>
          <w:tab w:val="left" w:pos="979"/>
        </w:tabs>
        <w:rPr>
          <w:sz w:val="22"/>
          <w:szCs w:val="22"/>
        </w:rPr>
      </w:pPr>
    </w:p>
    <w:sectPr w:rsidR="00EE71AC" w:rsidRPr="000242DE">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5C1F" w:rsidRDefault="009B5C1F">
      <w:r>
        <w:separator/>
      </w:r>
    </w:p>
  </w:endnote>
  <w:endnote w:type="continuationSeparator" w:id="0">
    <w:p w:rsidR="009B5C1F" w:rsidRDefault="009B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960800"/>
      <w:docPartObj>
        <w:docPartGallery w:val="Page Numbers (Bottom of Page)"/>
        <w:docPartUnique/>
      </w:docPartObj>
    </w:sdtPr>
    <w:sdtEndPr/>
    <w:sdtContent>
      <w:p w:rsidR="00AE0AC6" w:rsidRDefault="00AE0AC6">
        <w:pPr>
          <w:pStyle w:val="a7"/>
          <w:jc w:val="center"/>
        </w:pPr>
        <w:r>
          <w:fldChar w:fldCharType="begin"/>
        </w:r>
        <w:r>
          <w:instrText>PAGE   \* MERGEFORMAT</w:instrText>
        </w:r>
        <w:r>
          <w:fldChar w:fldCharType="separate"/>
        </w:r>
        <w:r>
          <w:t>2</w:t>
        </w:r>
        <w:r>
          <w:fldChar w:fldCharType="end"/>
        </w:r>
      </w:p>
    </w:sdtContent>
  </w:sdt>
  <w:p w:rsidR="00AE0AC6" w:rsidRDefault="00AE0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5C1F" w:rsidRDefault="009B5C1F">
      <w:r>
        <w:separator/>
      </w:r>
    </w:p>
  </w:footnote>
  <w:footnote w:type="continuationSeparator" w:id="0">
    <w:p w:rsidR="009B5C1F" w:rsidRDefault="009B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4A0B"/>
    <w:multiLevelType w:val="hybridMultilevel"/>
    <w:tmpl w:val="FBE405B0"/>
    <w:lvl w:ilvl="0" w:tplc="53D8041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742B8F"/>
    <w:multiLevelType w:val="multilevel"/>
    <w:tmpl w:val="8BD4A4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56"/>
        <w:szCs w:val="5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E230B"/>
    <w:multiLevelType w:val="multilevel"/>
    <w:tmpl w:val="EF4E264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7A0FB7"/>
    <w:multiLevelType w:val="hybridMultilevel"/>
    <w:tmpl w:val="AE104D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7C"/>
    <w:rsid w:val="00000005"/>
    <w:rsid w:val="00001FF8"/>
    <w:rsid w:val="00007FB7"/>
    <w:rsid w:val="00011BE1"/>
    <w:rsid w:val="00013388"/>
    <w:rsid w:val="000143C7"/>
    <w:rsid w:val="000242DE"/>
    <w:rsid w:val="0002552C"/>
    <w:rsid w:val="00026865"/>
    <w:rsid w:val="00027B6D"/>
    <w:rsid w:val="00034840"/>
    <w:rsid w:val="00040959"/>
    <w:rsid w:val="00041853"/>
    <w:rsid w:val="00047702"/>
    <w:rsid w:val="00055BD3"/>
    <w:rsid w:val="00056E69"/>
    <w:rsid w:val="000638DD"/>
    <w:rsid w:val="0006430E"/>
    <w:rsid w:val="00064840"/>
    <w:rsid w:val="00066E04"/>
    <w:rsid w:val="000717BB"/>
    <w:rsid w:val="00071925"/>
    <w:rsid w:val="00072CB2"/>
    <w:rsid w:val="0007559D"/>
    <w:rsid w:val="0008695C"/>
    <w:rsid w:val="0008774B"/>
    <w:rsid w:val="00090995"/>
    <w:rsid w:val="00092310"/>
    <w:rsid w:val="00092451"/>
    <w:rsid w:val="00095F85"/>
    <w:rsid w:val="000A499D"/>
    <w:rsid w:val="000A7CA2"/>
    <w:rsid w:val="000B002E"/>
    <w:rsid w:val="000B0C90"/>
    <w:rsid w:val="000B0CDD"/>
    <w:rsid w:val="000B1EF3"/>
    <w:rsid w:val="000B7976"/>
    <w:rsid w:val="000C14C1"/>
    <w:rsid w:val="000C1AC8"/>
    <w:rsid w:val="000C6A6E"/>
    <w:rsid w:val="000D061C"/>
    <w:rsid w:val="000D0D5E"/>
    <w:rsid w:val="000D599B"/>
    <w:rsid w:val="000E517D"/>
    <w:rsid w:val="000E5228"/>
    <w:rsid w:val="000F269B"/>
    <w:rsid w:val="000F3700"/>
    <w:rsid w:val="000F3BDD"/>
    <w:rsid w:val="00100AE6"/>
    <w:rsid w:val="001042FA"/>
    <w:rsid w:val="0011043C"/>
    <w:rsid w:val="001157BF"/>
    <w:rsid w:val="00115864"/>
    <w:rsid w:val="00125173"/>
    <w:rsid w:val="00126E23"/>
    <w:rsid w:val="00132D35"/>
    <w:rsid w:val="00135155"/>
    <w:rsid w:val="00145F1E"/>
    <w:rsid w:val="0014734A"/>
    <w:rsid w:val="00160E6E"/>
    <w:rsid w:val="00162098"/>
    <w:rsid w:val="00165367"/>
    <w:rsid w:val="00166386"/>
    <w:rsid w:val="001710AB"/>
    <w:rsid w:val="0017129B"/>
    <w:rsid w:val="00174859"/>
    <w:rsid w:val="00180223"/>
    <w:rsid w:val="00183343"/>
    <w:rsid w:val="00187282"/>
    <w:rsid w:val="001945C4"/>
    <w:rsid w:val="001A39FB"/>
    <w:rsid w:val="001B2F28"/>
    <w:rsid w:val="001C4029"/>
    <w:rsid w:val="001C6283"/>
    <w:rsid w:val="001D3CBC"/>
    <w:rsid w:val="001E0A8D"/>
    <w:rsid w:val="002039DA"/>
    <w:rsid w:val="00204E97"/>
    <w:rsid w:val="00206472"/>
    <w:rsid w:val="00211A8A"/>
    <w:rsid w:val="00214413"/>
    <w:rsid w:val="00214D0C"/>
    <w:rsid w:val="00216A28"/>
    <w:rsid w:val="0022621E"/>
    <w:rsid w:val="00230F3D"/>
    <w:rsid w:val="002349DD"/>
    <w:rsid w:val="002479E0"/>
    <w:rsid w:val="0025318B"/>
    <w:rsid w:val="00255625"/>
    <w:rsid w:val="0026000F"/>
    <w:rsid w:val="00262079"/>
    <w:rsid w:val="00262649"/>
    <w:rsid w:val="002626C5"/>
    <w:rsid w:val="002642F7"/>
    <w:rsid w:val="0027333C"/>
    <w:rsid w:val="0027489F"/>
    <w:rsid w:val="00274DF3"/>
    <w:rsid w:val="002A7125"/>
    <w:rsid w:val="002C48EA"/>
    <w:rsid w:val="002C56AB"/>
    <w:rsid w:val="002D375E"/>
    <w:rsid w:val="002D44E9"/>
    <w:rsid w:val="002D4764"/>
    <w:rsid w:val="002E120E"/>
    <w:rsid w:val="002E1298"/>
    <w:rsid w:val="002F352F"/>
    <w:rsid w:val="002F764B"/>
    <w:rsid w:val="0030521A"/>
    <w:rsid w:val="00310232"/>
    <w:rsid w:val="0031555E"/>
    <w:rsid w:val="003341C1"/>
    <w:rsid w:val="00334C44"/>
    <w:rsid w:val="00335E6E"/>
    <w:rsid w:val="00341287"/>
    <w:rsid w:val="00351D6A"/>
    <w:rsid w:val="00353AE3"/>
    <w:rsid w:val="003607DC"/>
    <w:rsid w:val="003625AD"/>
    <w:rsid w:val="00364783"/>
    <w:rsid w:val="00364CA4"/>
    <w:rsid w:val="003816D2"/>
    <w:rsid w:val="00381B58"/>
    <w:rsid w:val="00382E4B"/>
    <w:rsid w:val="00385C3B"/>
    <w:rsid w:val="0039436B"/>
    <w:rsid w:val="003A0941"/>
    <w:rsid w:val="003A1E9E"/>
    <w:rsid w:val="003B226F"/>
    <w:rsid w:val="003C0C76"/>
    <w:rsid w:val="003C1A14"/>
    <w:rsid w:val="003E5104"/>
    <w:rsid w:val="003E5688"/>
    <w:rsid w:val="003E7181"/>
    <w:rsid w:val="004041F9"/>
    <w:rsid w:val="00404268"/>
    <w:rsid w:val="00406540"/>
    <w:rsid w:val="00407FE1"/>
    <w:rsid w:val="00421C0F"/>
    <w:rsid w:val="00426149"/>
    <w:rsid w:val="00430A3E"/>
    <w:rsid w:val="00444160"/>
    <w:rsid w:val="0044512C"/>
    <w:rsid w:val="00453F46"/>
    <w:rsid w:val="00455764"/>
    <w:rsid w:val="00455915"/>
    <w:rsid w:val="004600F9"/>
    <w:rsid w:val="00460308"/>
    <w:rsid w:val="004670F0"/>
    <w:rsid w:val="00470947"/>
    <w:rsid w:val="00472EC7"/>
    <w:rsid w:val="00474794"/>
    <w:rsid w:val="00475392"/>
    <w:rsid w:val="00475A6F"/>
    <w:rsid w:val="00482445"/>
    <w:rsid w:val="004839D1"/>
    <w:rsid w:val="0048671B"/>
    <w:rsid w:val="0048706C"/>
    <w:rsid w:val="00491A4B"/>
    <w:rsid w:val="00492DA4"/>
    <w:rsid w:val="004947FD"/>
    <w:rsid w:val="004A67C3"/>
    <w:rsid w:val="004B0424"/>
    <w:rsid w:val="004B7C84"/>
    <w:rsid w:val="004B7D01"/>
    <w:rsid w:val="004C23A3"/>
    <w:rsid w:val="004C3435"/>
    <w:rsid w:val="004C5F5D"/>
    <w:rsid w:val="004E0056"/>
    <w:rsid w:val="004E3D47"/>
    <w:rsid w:val="004E52F8"/>
    <w:rsid w:val="004E7517"/>
    <w:rsid w:val="004F0A5B"/>
    <w:rsid w:val="004F3C40"/>
    <w:rsid w:val="00501F33"/>
    <w:rsid w:val="005067E5"/>
    <w:rsid w:val="005107BA"/>
    <w:rsid w:val="005115FB"/>
    <w:rsid w:val="0051275E"/>
    <w:rsid w:val="005166F7"/>
    <w:rsid w:val="005167D3"/>
    <w:rsid w:val="00523ED6"/>
    <w:rsid w:val="00525B7C"/>
    <w:rsid w:val="00526896"/>
    <w:rsid w:val="00526D34"/>
    <w:rsid w:val="00531A5C"/>
    <w:rsid w:val="00532DE3"/>
    <w:rsid w:val="0053642D"/>
    <w:rsid w:val="005369D1"/>
    <w:rsid w:val="005377BD"/>
    <w:rsid w:val="005433B1"/>
    <w:rsid w:val="00545CC1"/>
    <w:rsid w:val="00550219"/>
    <w:rsid w:val="005610CF"/>
    <w:rsid w:val="00564661"/>
    <w:rsid w:val="00566D90"/>
    <w:rsid w:val="0057396A"/>
    <w:rsid w:val="00574642"/>
    <w:rsid w:val="005765BF"/>
    <w:rsid w:val="005810EA"/>
    <w:rsid w:val="005837E2"/>
    <w:rsid w:val="00590F23"/>
    <w:rsid w:val="00591A2F"/>
    <w:rsid w:val="005A05B6"/>
    <w:rsid w:val="005A3F71"/>
    <w:rsid w:val="005A5327"/>
    <w:rsid w:val="005A7A44"/>
    <w:rsid w:val="005B0C8A"/>
    <w:rsid w:val="005B5F4B"/>
    <w:rsid w:val="005D0052"/>
    <w:rsid w:val="005D039D"/>
    <w:rsid w:val="005D26B7"/>
    <w:rsid w:val="005D2E2D"/>
    <w:rsid w:val="005E0C78"/>
    <w:rsid w:val="005E29A8"/>
    <w:rsid w:val="005F503B"/>
    <w:rsid w:val="005F7301"/>
    <w:rsid w:val="00600513"/>
    <w:rsid w:val="00604BCA"/>
    <w:rsid w:val="006065DB"/>
    <w:rsid w:val="00611F72"/>
    <w:rsid w:val="006141B7"/>
    <w:rsid w:val="006170CC"/>
    <w:rsid w:val="00622734"/>
    <w:rsid w:val="00622821"/>
    <w:rsid w:val="00622C83"/>
    <w:rsid w:val="006238D4"/>
    <w:rsid w:val="00624C95"/>
    <w:rsid w:val="006268EB"/>
    <w:rsid w:val="00644309"/>
    <w:rsid w:val="00655085"/>
    <w:rsid w:val="0066260E"/>
    <w:rsid w:val="00663275"/>
    <w:rsid w:val="006643B3"/>
    <w:rsid w:val="00665207"/>
    <w:rsid w:val="00666001"/>
    <w:rsid w:val="0067603B"/>
    <w:rsid w:val="00676F71"/>
    <w:rsid w:val="0067740B"/>
    <w:rsid w:val="00681C3D"/>
    <w:rsid w:val="00687063"/>
    <w:rsid w:val="006914CC"/>
    <w:rsid w:val="006A1FE3"/>
    <w:rsid w:val="006B057F"/>
    <w:rsid w:val="006C0F46"/>
    <w:rsid w:val="006C205A"/>
    <w:rsid w:val="006C6864"/>
    <w:rsid w:val="006D49FE"/>
    <w:rsid w:val="006D651F"/>
    <w:rsid w:val="006D68C4"/>
    <w:rsid w:val="006E4983"/>
    <w:rsid w:val="006E6007"/>
    <w:rsid w:val="006E731B"/>
    <w:rsid w:val="006F6E61"/>
    <w:rsid w:val="007061A2"/>
    <w:rsid w:val="00706822"/>
    <w:rsid w:val="00707DD6"/>
    <w:rsid w:val="00724774"/>
    <w:rsid w:val="00725C14"/>
    <w:rsid w:val="0073072B"/>
    <w:rsid w:val="00731FC6"/>
    <w:rsid w:val="00733499"/>
    <w:rsid w:val="00741882"/>
    <w:rsid w:val="00744784"/>
    <w:rsid w:val="007519FA"/>
    <w:rsid w:val="00757485"/>
    <w:rsid w:val="0077544B"/>
    <w:rsid w:val="007813EF"/>
    <w:rsid w:val="007837C8"/>
    <w:rsid w:val="007B1F97"/>
    <w:rsid w:val="007B230C"/>
    <w:rsid w:val="007B4382"/>
    <w:rsid w:val="007C41FF"/>
    <w:rsid w:val="007D7227"/>
    <w:rsid w:val="007E039C"/>
    <w:rsid w:val="007F563E"/>
    <w:rsid w:val="008005DA"/>
    <w:rsid w:val="00800936"/>
    <w:rsid w:val="00807A85"/>
    <w:rsid w:val="008305CC"/>
    <w:rsid w:val="0083356F"/>
    <w:rsid w:val="008367BD"/>
    <w:rsid w:val="00842864"/>
    <w:rsid w:val="00845624"/>
    <w:rsid w:val="00846262"/>
    <w:rsid w:val="00856A1E"/>
    <w:rsid w:val="00860C5F"/>
    <w:rsid w:val="00874550"/>
    <w:rsid w:val="0087657E"/>
    <w:rsid w:val="00877764"/>
    <w:rsid w:val="00881A66"/>
    <w:rsid w:val="008852BD"/>
    <w:rsid w:val="00897476"/>
    <w:rsid w:val="008A3FB7"/>
    <w:rsid w:val="008B4AB8"/>
    <w:rsid w:val="008B587B"/>
    <w:rsid w:val="008C537C"/>
    <w:rsid w:val="008D37BE"/>
    <w:rsid w:val="008E4F27"/>
    <w:rsid w:val="008E56FD"/>
    <w:rsid w:val="008F50C4"/>
    <w:rsid w:val="008F7AAA"/>
    <w:rsid w:val="00900879"/>
    <w:rsid w:val="009022F7"/>
    <w:rsid w:val="009024A5"/>
    <w:rsid w:val="009027A4"/>
    <w:rsid w:val="009037FC"/>
    <w:rsid w:val="009045DD"/>
    <w:rsid w:val="009049B1"/>
    <w:rsid w:val="00913238"/>
    <w:rsid w:val="00917EF1"/>
    <w:rsid w:val="00932B77"/>
    <w:rsid w:val="00934171"/>
    <w:rsid w:val="00942101"/>
    <w:rsid w:val="00942B8D"/>
    <w:rsid w:val="00945A94"/>
    <w:rsid w:val="00946A73"/>
    <w:rsid w:val="00947BEE"/>
    <w:rsid w:val="00951E23"/>
    <w:rsid w:val="00973D5B"/>
    <w:rsid w:val="009A3034"/>
    <w:rsid w:val="009A3AE0"/>
    <w:rsid w:val="009A4B1B"/>
    <w:rsid w:val="009A59AB"/>
    <w:rsid w:val="009B3DD3"/>
    <w:rsid w:val="009B492D"/>
    <w:rsid w:val="009B5C1F"/>
    <w:rsid w:val="009B7AF7"/>
    <w:rsid w:val="009F3401"/>
    <w:rsid w:val="009F4350"/>
    <w:rsid w:val="009F5B8F"/>
    <w:rsid w:val="00A0090C"/>
    <w:rsid w:val="00A0311C"/>
    <w:rsid w:val="00A06677"/>
    <w:rsid w:val="00A218EA"/>
    <w:rsid w:val="00A21EDC"/>
    <w:rsid w:val="00A25AB2"/>
    <w:rsid w:val="00A326DD"/>
    <w:rsid w:val="00A33E94"/>
    <w:rsid w:val="00A356F9"/>
    <w:rsid w:val="00A359DC"/>
    <w:rsid w:val="00A35AD2"/>
    <w:rsid w:val="00A35ECE"/>
    <w:rsid w:val="00A437D6"/>
    <w:rsid w:val="00A524FE"/>
    <w:rsid w:val="00A527D7"/>
    <w:rsid w:val="00A56F90"/>
    <w:rsid w:val="00A574F6"/>
    <w:rsid w:val="00A62026"/>
    <w:rsid w:val="00A635C7"/>
    <w:rsid w:val="00A64BF7"/>
    <w:rsid w:val="00A65016"/>
    <w:rsid w:val="00A7323A"/>
    <w:rsid w:val="00A74EC3"/>
    <w:rsid w:val="00A80D2A"/>
    <w:rsid w:val="00A85555"/>
    <w:rsid w:val="00A87B60"/>
    <w:rsid w:val="00A9614E"/>
    <w:rsid w:val="00AA21AA"/>
    <w:rsid w:val="00AA2468"/>
    <w:rsid w:val="00AA2ABB"/>
    <w:rsid w:val="00AA3ADF"/>
    <w:rsid w:val="00AA5863"/>
    <w:rsid w:val="00AA6707"/>
    <w:rsid w:val="00AD7D7D"/>
    <w:rsid w:val="00AE05AB"/>
    <w:rsid w:val="00AE0AC6"/>
    <w:rsid w:val="00AE538A"/>
    <w:rsid w:val="00AF0C71"/>
    <w:rsid w:val="00AF2227"/>
    <w:rsid w:val="00AF4410"/>
    <w:rsid w:val="00B0033B"/>
    <w:rsid w:val="00B00B60"/>
    <w:rsid w:val="00B06ADC"/>
    <w:rsid w:val="00B131FC"/>
    <w:rsid w:val="00B269D6"/>
    <w:rsid w:val="00B30CBF"/>
    <w:rsid w:val="00B32A09"/>
    <w:rsid w:val="00B33C15"/>
    <w:rsid w:val="00B33F3F"/>
    <w:rsid w:val="00B3534B"/>
    <w:rsid w:val="00B41B34"/>
    <w:rsid w:val="00B423FC"/>
    <w:rsid w:val="00B51413"/>
    <w:rsid w:val="00B536C6"/>
    <w:rsid w:val="00B65863"/>
    <w:rsid w:val="00B75A15"/>
    <w:rsid w:val="00B8561A"/>
    <w:rsid w:val="00B93A2D"/>
    <w:rsid w:val="00BA1023"/>
    <w:rsid w:val="00BA599A"/>
    <w:rsid w:val="00BA5D43"/>
    <w:rsid w:val="00BA7A53"/>
    <w:rsid w:val="00BB2C2D"/>
    <w:rsid w:val="00BB2F0F"/>
    <w:rsid w:val="00BB6254"/>
    <w:rsid w:val="00BC0CFC"/>
    <w:rsid w:val="00BC2F8F"/>
    <w:rsid w:val="00BC799E"/>
    <w:rsid w:val="00BD127C"/>
    <w:rsid w:val="00BD4308"/>
    <w:rsid w:val="00BD43B9"/>
    <w:rsid w:val="00BD4CBA"/>
    <w:rsid w:val="00BE005C"/>
    <w:rsid w:val="00BE2273"/>
    <w:rsid w:val="00BE423D"/>
    <w:rsid w:val="00BF2183"/>
    <w:rsid w:val="00BF2DAE"/>
    <w:rsid w:val="00C05277"/>
    <w:rsid w:val="00C0694F"/>
    <w:rsid w:val="00C11E59"/>
    <w:rsid w:val="00C20F4A"/>
    <w:rsid w:val="00C24773"/>
    <w:rsid w:val="00C256D8"/>
    <w:rsid w:val="00C306F4"/>
    <w:rsid w:val="00C34714"/>
    <w:rsid w:val="00C37762"/>
    <w:rsid w:val="00C444FE"/>
    <w:rsid w:val="00C45897"/>
    <w:rsid w:val="00C5096F"/>
    <w:rsid w:val="00C647B1"/>
    <w:rsid w:val="00C704C4"/>
    <w:rsid w:val="00C7102E"/>
    <w:rsid w:val="00C72188"/>
    <w:rsid w:val="00C80D9F"/>
    <w:rsid w:val="00C81DBC"/>
    <w:rsid w:val="00C82F88"/>
    <w:rsid w:val="00C921E1"/>
    <w:rsid w:val="00CA3F45"/>
    <w:rsid w:val="00CA6916"/>
    <w:rsid w:val="00CB27F7"/>
    <w:rsid w:val="00CB60A4"/>
    <w:rsid w:val="00CC0A5E"/>
    <w:rsid w:val="00CC6912"/>
    <w:rsid w:val="00CC6D9F"/>
    <w:rsid w:val="00CE157A"/>
    <w:rsid w:val="00CF1CFC"/>
    <w:rsid w:val="00CF2D56"/>
    <w:rsid w:val="00CF4686"/>
    <w:rsid w:val="00CF583A"/>
    <w:rsid w:val="00D0428C"/>
    <w:rsid w:val="00D04EA3"/>
    <w:rsid w:val="00D077E9"/>
    <w:rsid w:val="00D11FB8"/>
    <w:rsid w:val="00D13E87"/>
    <w:rsid w:val="00D1705F"/>
    <w:rsid w:val="00D23EA5"/>
    <w:rsid w:val="00D24A70"/>
    <w:rsid w:val="00D252C5"/>
    <w:rsid w:val="00D26082"/>
    <w:rsid w:val="00D30010"/>
    <w:rsid w:val="00D31C79"/>
    <w:rsid w:val="00D53111"/>
    <w:rsid w:val="00D54CFC"/>
    <w:rsid w:val="00D573EB"/>
    <w:rsid w:val="00D707DB"/>
    <w:rsid w:val="00D756E1"/>
    <w:rsid w:val="00D76165"/>
    <w:rsid w:val="00D84B36"/>
    <w:rsid w:val="00D86438"/>
    <w:rsid w:val="00D9161A"/>
    <w:rsid w:val="00D979FA"/>
    <w:rsid w:val="00D97F05"/>
    <w:rsid w:val="00DA2414"/>
    <w:rsid w:val="00DA3219"/>
    <w:rsid w:val="00DB05D9"/>
    <w:rsid w:val="00DB2803"/>
    <w:rsid w:val="00DB3664"/>
    <w:rsid w:val="00DC342E"/>
    <w:rsid w:val="00DD75BD"/>
    <w:rsid w:val="00DD76C5"/>
    <w:rsid w:val="00DE5716"/>
    <w:rsid w:val="00DE79AE"/>
    <w:rsid w:val="00E100F6"/>
    <w:rsid w:val="00E204D1"/>
    <w:rsid w:val="00E23431"/>
    <w:rsid w:val="00E24E05"/>
    <w:rsid w:val="00E30F5E"/>
    <w:rsid w:val="00E31ADB"/>
    <w:rsid w:val="00E36264"/>
    <w:rsid w:val="00E37744"/>
    <w:rsid w:val="00E40963"/>
    <w:rsid w:val="00E424DD"/>
    <w:rsid w:val="00E457CE"/>
    <w:rsid w:val="00E47E0F"/>
    <w:rsid w:val="00E57694"/>
    <w:rsid w:val="00E63C3E"/>
    <w:rsid w:val="00E65C41"/>
    <w:rsid w:val="00E65CB2"/>
    <w:rsid w:val="00E6782F"/>
    <w:rsid w:val="00E733EA"/>
    <w:rsid w:val="00E75639"/>
    <w:rsid w:val="00E75FC1"/>
    <w:rsid w:val="00E76137"/>
    <w:rsid w:val="00E848C3"/>
    <w:rsid w:val="00E84F4C"/>
    <w:rsid w:val="00E87860"/>
    <w:rsid w:val="00E91EA5"/>
    <w:rsid w:val="00E93F02"/>
    <w:rsid w:val="00E95C9F"/>
    <w:rsid w:val="00EA6CAF"/>
    <w:rsid w:val="00EC1B3C"/>
    <w:rsid w:val="00EC4687"/>
    <w:rsid w:val="00EE325F"/>
    <w:rsid w:val="00EE3BB1"/>
    <w:rsid w:val="00EE3CD8"/>
    <w:rsid w:val="00EE6BC6"/>
    <w:rsid w:val="00EE71AC"/>
    <w:rsid w:val="00EF1B99"/>
    <w:rsid w:val="00EF4643"/>
    <w:rsid w:val="00F14329"/>
    <w:rsid w:val="00F1456F"/>
    <w:rsid w:val="00F26AE9"/>
    <w:rsid w:val="00F26C16"/>
    <w:rsid w:val="00F27AD9"/>
    <w:rsid w:val="00F35169"/>
    <w:rsid w:val="00F40E50"/>
    <w:rsid w:val="00F43258"/>
    <w:rsid w:val="00F54536"/>
    <w:rsid w:val="00F5566D"/>
    <w:rsid w:val="00F55F1C"/>
    <w:rsid w:val="00F81FD9"/>
    <w:rsid w:val="00F86895"/>
    <w:rsid w:val="00F91CC8"/>
    <w:rsid w:val="00F94A59"/>
    <w:rsid w:val="00F97CC9"/>
    <w:rsid w:val="00FA0152"/>
    <w:rsid w:val="00FA62FE"/>
    <w:rsid w:val="00FB12FD"/>
    <w:rsid w:val="00FB168A"/>
    <w:rsid w:val="00FB58F2"/>
    <w:rsid w:val="00FC107E"/>
    <w:rsid w:val="00FC3197"/>
    <w:rsid w:val="00FC64D3"/>
    <w:rsid w:val="00FD2775"/>
    <w:rsid w:val="00FE0B0F"/>
    <w:rsid w:val="00FE0C9C"/>
    <w:rsid w:val="00FF0EE7"/>
    <w:rsid w:val="00FF1547"/>
    <w:rsid w:val="00FF4330"/>
    <w:rsid w:val="24940F9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2A7E"/>
  <w15:docId w15:val="{6CD9C9A2-FA53-41AE-94A6-C33CD85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2">
    <w:name w:val="heading 2"/>
    <w:basedOn w:val="a"/>
    <w:next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Block Text"/>
    <w:basedOn w:val="a"/>
    <w:semiHidden/>
    <w:unhideWhenUsed/>
    <w:pPr>
      <w:ind w:left="284" w:right="-58" w:firstLine="436"/>
      <w:jc w:val="both"/>
    </w:pPr>
    <w:rPr>
      <w:szCs w:val="20"/>
      <w:lang w:eastAsia="ru-RU"/>
    </w:rPr>
  </w:style>
  <w:style w:type="character" w:styleId="a6">
    <w:name w:val="Emphasis"/>
    <w:basedOn w:val="a0"/>
    <w:uiPriority w:val="20"/>
    <w:qFormat/>
    <w:rPr>
      <w:i/>
      <w:iCs/>
    </w:rPr>
  </w:style>
  <w:style w:type="paragraph" w:styleId="a7">
    <w:name w:val="footer"/>
    <w:basedOn w:val="a"/>
    <w:link w:val="a8"/>
    <w:uiPriority w:val="99"/>
    <w:unhideWhenUsed/>
    <w:pPr>
      <w:tabs>
        <w:tab w:val="center" w:pos="4819"/>
        <w:tab w:val="right" w:pos="9639"/>
      </w:tabs>
    </w:pPr>
  </w:style>
  <w:style w:type="paragraph" w:styleId="a9">
    <w:name w:val="header"/>
    <w:basedOn w:val="a"/>
    <w:link w:val="aa"/>
    <w:uiPriority w:val="99"/>
    <w:unhideWhenUsed/>
    <w:pPr>
      <w:tabs>
        <w:tab w:val="center" w:pos="4819"/>
        <w:tab w:val="right" w:pos="9639"/>
      </w:tabs>
    </w:pPr>
  </w:style>
  <w:style w:type="paragraph" w:styleId="HTML">
    <w:name w:val="HTML Preformatted"/>
    <w:basedOn w:val="a"/>
    <w:link w:val="HTML0"/>
    <w:uiPriority w:val="99"/>
    <w:pPr>
      <w:suppressAutoHyphens/>
    </w:pPr>
    <w:rPr>
      <w:rFonts w:ascii="Courier New" w:hAnsi="Courier New" w:cs="Courier New"/>
      <w:sz w:val="20"/>
      <w:szCs w:val="20"/>
      <w:lang w:eastAsia="ar-SA"/>
    </w:rPr>
  </w:style>
  <w:style w:type="character" w:styleId="ab">
    <w:name w:val="Hyperlink"/>
    <w:basedOn w:val="a0"/>
    <w:uiPriority w:val="99"/>
    <w:semiHidden/>
    <w:unhideWhenUsed/>
    <w:rPr>
      <w:color w:val="0000FF"/>
      <w:u w:val="single"/>
    </w:rPr>
  </w:style>
  <w:style w:type="paragraph" w:styleId="ac">
    <w:name w:val="Normal (Web)"/>
    <w:basedOn w:val="a"/>
    <w:uiPriority w:val="99"/>
    <w:unhideWhenUsed/>
    <w:pPr>
      <w:spacing w:before="100" w:beforeAutospacing="1" w:after="100" w:afterAutospacing="1"/>
    </w:pPr>
    <w:rPr>
      <w:lang w:val="ru-RU" w:eastAsia="ru-RU"/>
    </w:rPr>
  </w:style>
  <w:style w:type="character" w:styleId="ad">
    <w:name w:val="Strong"/>
    <w:basedOn w:val="a0"/>
    <w:uiPriority w:val="22"/>
    <w:qFormat/>
    <w:rPr>
      <w:b/>
      <w:bCs/>
    </w:rPr>
  </w:style>
  <w:style w:type="table" w:styleId="ae">
    <w:name w:val="Table Grid"/>
    <w:basedOn w:val="a1"/>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у1"/>
    <w:basedOn w:val="a"/>
    <w:next w:val="af"/>
    <w:uiPriority w:val="34"/>
    <w:qFormat/>
    <w:pPr>
      <w:spacing w:after="160" w:line="259" w:lineRule="auto"/>
      <w:ind w:left="720"/>
      <w:contextualSpacing/>
    </w:pPr>
    <w:rPr>
      <w:lang w:val="ru-RU"/>
    </w:rPr>
  </w:style>
  <w:style w:type="paragraph" w:styleId="af">
    <w:name w:val="List Paragraph"/>
    <w:basedOn w:val="a"/>
    <w:uiPriority w:val="34"/>
    <w:qFormat/>
    <w:pPr>
      <w:ind w:left="720"/>
      <w:contextualSpacing/>
    </w:pPr>
  </w:style>
  <w:style w:type="character" w:customStyle="1" w:styleId="HTML0">
    <w:name w:val="Стандартний HTML Знак"/>
    <w:basedOn w:val="a0"/>
    <w:link w:val="HTML"/>
    <w:uiPriority w:val="99"/>
    <w:rPr>
      <w:rFonts w:ascii="Courier New" w:eastAsia="Times New Roman" w:hAnsi="Courier New" w:cs="Courier New"/>
      <w:sz w:val="20"/>
      <w:szCs w:val="20"/>
      <w:lang w:eastAsia="ar-SA"/>
    </w:rPr>
  </w:style>
  <w:style w:type="character" w:customStyle="1" w:styleId="HTML1">
    <w:name w:val="Стандартный HTML Знак"/>
    <w:basedOn w:val="a0"/>
    <w:uiPriority w:val="99"/>
    <w:semiHidden/>
    <w:rPr>
      <w:rFonts w:ascii="Consolas" w:hAnsi="Consolas" w:cs="Consolas"/>
      <w:sz w:val="20"/>
      <w:szCs w:val="20"/>
    </w:rPr>
  </w:style>
  <w:style w:type="character" w:customStyle="1" w:styleId="st">
    <w:name w:val="st"/>
    <w:basedOn w:val="a0"/>
  </w:style>
  <w:style w:type="paragraph" w:customStyle="1" w:styleId="Style8">
    <w:name w:val="Style8"/>
    <w:basedOn w:val="a"/>
    <w:uiPriority w:val="99"/>
    <w:pPr>
      <w:widowControl w:val="0"/>
      <w:autoSpaceDE w:val="0"/>
      <w:autoSpaceDN w:val="0"/>
      <w:adjustRightInd w:val="0"/>
      <w:spacing w:line="367" w:lineRule="exact"/>
      <w:ind w:firstLine="710"/>
      <w:jc w:val="both"/>
    </w:pPr>
  </w:style>
  <w:style w:type="character" w:customStyle="1" w:styleId="FontStyle42">
    <w:name w:val="Font Style42"/>
    <w:basedOn w:val="a0"/>
    <w:uiPriority w:val="99"/>
    <w:rPr>
      <w:rFonts w:ascii="Times New Roman" w:hAnsi="Times New Roman" w:cs="Times New Roman" w:hint="default"/>
      <w:sz w:val="26"/>
      <w:szCs w:val="26"/>
    </w:rPr>
  </w:style>
  <w:style w:type="paragraph" w:customStyle="1" w:styleId="af0">
    <w:name w:val="???????"/>
    <w:pPr>
      <w:widowControl w:val="0"/>
      <w:suppressAutoHyphens/>
      <w:autoSpaceDE w:val="0"/>
    </w:pPr>
    <w:rPr>
      <w:rFonts w:ascii="Times New Roman" w:eastAsia="Times New Roman" w:hAnsi="Times New Roman" w:cs="Times New Roman"/>
      <w:sz w:val="24"/>
      <w:szCs w:val="24"/>
      <w:lang w:val="ru-RU" w:eastAsia="ar-SA"/>
    </w:rPr>
  </w:style>
  <w:style w:type="character" w:customStyle="1" w:styleId="a4">
    <w:name w:val="Текст у виносці Знак"/>
    <w:basedOn w:val="a0"/>
    <w:link w:val="a3"/>
    <w:uiPriority w:val="99"/>
    <w:semiHidden/>
    <w:rPr>
      <w:rFonts w:ascii="Tahoma" w:eastAsia="Times New Roman" w:hAnsi="Tahoma" w:cs="Tahoma"/>
      <w:sz w:val="16"/>
      <w:szCs w:val="16"/>
      <w:lang w:eastAsia="uk-UA"/>
    </w:rPr>
  </w:style>
  <w:style w:type="character" w:customStyle="1" w:styleId="aa">
    <w:name w:val="Верхній колонтитул Знак"/>
    <w:basedOn w:val="a0"/>
    <w:link w:val="a9"/>
    <w:uiPriority w:val="99"/>
    <w:rPr>
      <w:rFonts w:ascii="Times New Roman" w:eastAsia="Times New Roman" w:hAnsi="Times New Roman" w:cs="Times New Roman"/>
      <w:sz w:val="24"/>
      <w:szCs w:val="24"/>
      <w:lang w:eastAsia="uk-UA"/>
    </w:rPr>
  </w:style>
  <w:style w:type="character" w:customStyle="1" w:styleId="a8">
    <w:name w:val="Нижній колонтитул Знак"/>
    <w:basedOn w:val="a0"/>
    <w:link w:val="a7"/>
    <w:uiPriority w:val="9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774">
      <w:bodyDiv w:val="1"/>
      <w:marLeft w:val="0"/>
      <w:marRight w:val="0"/>
      <w:marTop w:val="0"/>
      <w:marBottom w:val="0"/>
      <w:divBdr>
        <w:top w:val="none" w:sz="0" w:space="0" w:color="auto"/>
        <w:left w:val="none" w:sz="0" w:space="0" w:color="auto"/>
        <w:bottom w:val="none" w:sz="0" w:space="0" w:color="auto"/>
        <w:right w:val="none" w:sz="0" w:space="0" w:color="auto"/>
      </w:divBdr>
    </w:div>
    <w:div w:id="42020014">
      <w:bodyDiv w:val="1"/>
      <w:marLeft w:val="0"/>
      <w:marRight w:val="0"/>
      <w:marTop w:val="0"/>
      <w:marBottom w:val="0"/>
      <w:divBdr>
        <w:top w:val="none" w:sz="0" w:space="0" w:color="auto"/>
        <w:left w:val="none" w:sz="0" w:space="0" w:color="auto"/>
        <w:bottom w:val="none" w:sz="0" w:space="0" w:color="auto"/>
        <w:right w:val="none" w:sz="0" w:space="0" w:color="auto"/>
      </w:divBdr>
    </w:div>
    <w:div w:id="81073542">
      <w:bodyDiv w:val="1"/>
      <w:marLeft w:val="0"/>
      <w:marRight w:val="0"/>
      <w:marTop w:val="0"/>
      <w:marBottom w:val="0"/>
      <w:divBdr>
        <w:top w:val="none" w:sz="0" w:space="0" w:color="auto"/>
        <w:left w:val="none" w:sz="0" w:space="0" w:color="auto"/>
        <w:bottom w:val="none" w:sz="0" w:space="0" w:color="auto"/>
        <w:right w:val="none" w:sz="0" w:space="0" w:color="auto"/>
      </w:divBdr>
    </w:div>
    <w:div w:id="125390991">
      <w:bodyDiv w:val="1"/>
      <w:marLeft w:val="0"/>
      <w:marRight w:val="0"/>
      <w:marTop w:val="0"/>
      <w:marBottom w:val="0"/>
      <w:divBdr>
        <w:top w:val="none" w:sz="0" w:space="0" w:color="auto"/>
        <w:left w:val="none" w:sz="0" w:space="0" w:color="auto"/>
        <w:bottom w:val="none" w:sz="0" w:space="0" w:color="auto"/>
        <w:right w:val="none" w:sz="0" w:space="0" w:color="auto"/>
      </w:divBdr>
    </w:div>
    <w:div w:id="155189722">
      <w:bodyDiv w:val="1"/>
      <w:marLeft w:val="0"/>
      <w:marRight w:val="0"/>
      <w:marTop w:val="0"/>
      <w:marBottom w:val="0"/>
      <w:divBdr>
        <w:top w:val="none" w:sz="0" w:space="0" w:color="auto"/>
        <w:left w:val="none" w:sz="0" w:space="0" w:color="auto"/>
        <w:bottom w:val="none" w:sz="0" w:space="0" w:color="auto"/>
        <w:right w:val="none" w:sz="0" w:space="0" w:color="auto"/>
      </w:divBdr>
    </w:div>
    <w:div w:id="322396443">
      <w:bodyDiv w:val="1"/>
      <w:marLeft w:val="0"/>
      <w:marRight w:val="0"/>
      <w:marTop w:val="0"/>
      <w:marBottom w:val="0"/>
      <w:divBdr>
        <w:top w:val="none" w:sz="0" w:space="0" w:color="auto"/>
        <w:left w:val="none" w:sz="0" w:space="0" w:color="auto"/>
        <w:bottom w:val="none" w:sz="0" w:space="0" w:color="auto"/>
        <w:right w:val="none" w:sz="0" w:space="0" w:color="auto"/>
      </w:divBdr>
    </w:div>
    <w:div w:id="47102019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84656383">
      <w:bodyDiv w:val="1"/>
      <w:marLeft w:val="0"/>
      <w:marRight w:val="0"/>
      <w:marTop w:val="0"/>
      <w:marBottom w:val="0"/>
      <w:divBdr>
        <w:top w:val="none" w:sz="0" w:space="0" w:color="auto"/>
        <w:left w:val="none" w:sz="0" w:space="0" w:color="auto"/>
        <w:bottom w:val="none" w:sz="0" w:space="0" w:color="auto"/>
        <w:right w:val="none" w:sz="0" w:space="0" w:color="auto"/>
      </w:divBdr>
    </w:div>
    <w:div w:id="675308908">
      <w:bodyDiv w:val="1"/>
      <w:marLeft w:val="0"/>
      <w:marRight w:val="0"/>
      <w:marTop w:val="0"/>
      <w:marBottom w:val="0"/>
      <w:divBdr>
        <w:top w:val="none" w:sz="0" w:space="0" w:color="auto"/>
        <w:left w:val="none" w:sz="0" w:space="0" w:color="auto"/>
        <w:bottom w:val="none" w:sz="0" w:space="0" w:color="auto"/>
        <w:right w:val="none" w:sz="0" w:space="0" w:color="auto"/>
      </w:divBdr>
    </w:div>
    <w:div w:id="683436138">
      <w:bodyDiv w:val="1"/>
      <w:marLeft w:val="0"/>
      <w:marRight w:val="0"/>
      <w:marTop w:val="0"/>
      <w:marBottom w:val="0"/>
      <w:divBdr>
        <w:top w:val="none" w:sz="0" w:space="0" w:color="auto"/>
        <w:left w:val="none" w:sz="0" w:space="0" w:color="auto"/>
        <w:bottom w:val="none" w:sz="0" w:space="0" w:color="auto"/>
        <w:right w:val="none" w:sz="0" w:space="0" w:color="auto"/>
      </w:divBdr>
    </w:div>
    <w:div w:id="708533136">
      <w:bodyDiv w:val="1"/>
      <w:marLeft w:val="0"/>
      <w:marRight w:val="0"/>
      <w:marTop w:val="0"/>
      <w:marBottom w:val="0"/>
      <w:divBdr>
        <w:top w:val="none" w:sz="0" w:space="0" w:color="auto"/>
        <w:left w:val="none" w:sz="0" w:space="0" w:color="auto"/>
        <w:bottom w:val="none" w:sz="0" w:space="0" w:color="auto"/>
        <w:right w:val="none" w:sz="0" w:space="0" w:color="auto"/>
      </w:divBdr>
    </w:div>
    <w:div w:id="761409991">
      <w:bodyDiv w:val="1"/>
      <w:marLeft w:val="0"/>
      <w:marRight w:val="0"/>
      <w:marTop w:val="0"/>
      <w:marBottom w:val="0"/>
      <w:divBdr>
        <w:top w:val="none" w:sz="0" w:space="0" w:color="auto"/>
        <w:left w:val="none" w:sz="0" w:space="0" w:color="auto"/>
        <w:bottom w:val="none" w:sz="0" w:space="0" w:color="auto"/>
        <w:right w:val="none" w:sz="0" w:space="0" w:color="auto"/>
      </w:divBdr>
    </w:div>
    <w:div w:id="777680350">
      <w:bodyDiv w:val="1"/>
      <w:marLeft w:val="0"/>
      <w:marRight w:val="0"/>
      <w:marTop w:val="0"/>
      <w:marBottom w:val="0"/>
      <w:divBdr>
        <w:top w:val="none" w:sz="0" w:space="0" w:color="auto"/>
        <w:left w:val="none" w:sz="0" w:space="0" w:color="auto"/>
        <w:bottom w:val="none" w:sz="0" w:space="0" w:color="auto"/>
        <w:right w:val="none" w:sz="0" w:space="0" w:color="auto"/>
      </w:divBdr>
    </w:div>
    <w:div w:id="784815753">
      <w:bodyDiv w:val="1"/>
      <w:marLeft w:val="0"/>
      <w:marRight w:val="0"/>
      <w:marTop w:val="0"/>
      <w:marBottom w:val="0"/>
      <w:divBdr>
        <w:top w:val="none" w:sz="0" w:space="0" w:color="auto"/>
        <w:left w:val="none" w:sz="0" w:space="0" w:color="auto"/>
        <w:bottom w:val="none" w:sz="0" w:space="0" w:color="auto"/>
        <w:right w:val="none" w:sz="0" w:space="0" w:color="auto"/>
      </w:divBdr>
    </w:div>
    <w:div w:id="830371523">
      <w:bodyDiv w:val="1"/>
      <w:marLeft w:val="0"/>
      <w:marRight w:val="0"/>
      <w:marTop w:val="0"/>
      <w:marBottom w:val="0"/>
      <w:divBdr>
        <w:top w:val="none" w:sz="0" w:space="0" w:color="auto"/>
        <w:left w:val="none" w:sz="0" w:space="0" w:color="auto"/>
        <w:bottom w:val="none" w:sz="0" w:space="0" w:color="auto"/>
        <w:right w:val="none" w:sz="0" w:space="0" w:color="auto"/>
      </w:divBdr>
    </w:div>
    <w:div w:id="843325187">
      <w:bodyDiv w:val="1"/>
      <w:marLeft w:val="0"/>
      <w:marRight w:val="0"/>
      <w:marTop w:val="0"/>
      <w:marBottom w:val="0"/>
      <w:divBdr>
        <w:top w:val="none" w:sz="0" w:space="0" w:color="auto"/>
        <w:left w:val="none" w:sz="0" w:space="0" w:color="auto"/>
        <w:bottom w:val="none" w:sz="0" w:space="0" w:color="auto"/>
        <w:right w:val="none" w:sz="0" w:space="0" w:color="auto"/>
      </w:divBdr>
    </w:div>
    <w:div w:id="850533931">
      <w:bodyDiv w:val="1"/>
      <w:marLeft w:val="0"/>
      <w:marRight w:val="0"/>
      <w:marTop w:val="0"/>
      <w:marBottom w:val="0"/>
      <w:divBdr>
        <w:top w:val="none" w:sz="0" w:space="0" w:color="auto"/>
        <w:left w:val="none" w:sz="0" w:space="0" w:color="auto"/>
        <w:bottom w:val="none" w:sz="0" w:space="0" w:color="auto"/>
        <w:right w:val="none" w:sz="0" w:space="0" w:color="auto"/>
      </w:divBdr>
    </w:div>
    <w:div w:id="894698709">
      <w:bodyDiv w:val="1"/>
      <w:marLeft w:val="0"/>
      <w:marRight w:val="0"/>
      <w:marTop w:val="0"/>
      <w:marBottom w:val="0"/>
      <w:divBdr>
        <w:top w:val="none" w:sz="0" w:space="0" w:color="auto"/>
        <w:left w:val="none" w:sz="0" w:space="0" w:color="auto"/>
        <w:bottom w:val="none" w:sz="0" w:space="0" w:color="auto"/>
        <w:right w:val="none" w:sz="0" w:space="0" w:color="auto"/>
      </w:divBdr>
    </w:div>
    <w:div w:id="999192123">
      <w:bodyDiv w:val="1"/>
      <w:marLeft w:val="0"/>
      <w:marRight w:val="0"/>
      <w:marTop w:val="0"/>
      <w:marBottom w:val="0"/>
      <w:divBdr>
        <w:top w:val="none" w:sz="0" w:space="0" w:color="auto"/>
        <w:left w:val="none" w:sz="0" w:space="0" w:color="auto"/>
        <w:bottom w:val="none" w:sz="0" w:space="0" w:color="auto"/>
        <w:right w:val="none" w:sz="0" w:space="0" w:color="auto"/>
      </w:divBdr>
    </w:div>
    <w:div w:id="1031691684">
      <w:bodyDiv w:val="1"/>
      <w:marLeft w:val="0"/>
      <w:marRight w:val="0"/>
      <w:marTop w:val="0"/>
      <w:marBottom w:val="0"/>
      <w:divBdr>
        <w:top w:val="none" w:sz="0" w:space="0" w:color="auto"/>
        <w:left w:val="none" w:sz="0" w:space="0" w:color="auto"/>
        <w:bottom w:val="none" w:sz="0" w:space="0" w:color="auto"/>
        <w:right w:val="none" w:sz="0" w:space="0" w:color="auto"/>
      </w:divBdr>
    </w:div>
    <w:div w:id="1032917323">
      <w:bodyDiv w:val="1"/>
      <w:marLeft w:val="0"/>
      <w:marRight w:val="0"/>
      <w:marTop w:val="0"/>
      <w:marBottom w:val="0"/>
      <w:divBdr>
        <w:top w:val="none" w:sz="0" w:space="0" w:color="auto"/>
        <w:left w:val="none" w:sz="0" w:space="0" w:color="auto"/>
        <w:bottom w:val="none" w:sz="0" w:space="0" w:color="auto"/>
        <w:right w:val="none" w:sz="0" w:space="0" w:color="auto"/>
      </w:divBdr>
    </w:div>
    <w:div w:id="1061057728">
      <w:bodyDiv w:val="1"/>
      <w:marLeft w:val="0"/>
      <w:marRight w:val="0"/>
      <w:marTop w:val="0"/>
      <w:marBottom w:val="0"/>
      <w:divBdr>
        <w:top w:val="none" w:sz="0" w:space="0" w:color="auto"/>
        <w:left w:val="none" w:sz="0" w:space="0" w:color="auto"/>
        <w:bottom w:val="none" w:sz="0" w:space="0" w:color="auto"/>
        <w:right w:val="none" w:sz="0" w:space="0" w:color="auto"/>
      </w:divBdr>
    </w:div>
    <w:div w:id="1069154519">
      <w:bodyDiv w:val="1"/>
      <w:marLeft w:val="0"/>
      <w:marRight w:val="0"/>
      <w:marTop w:val="0"/>
      <w:marBottom w:val="0"/>
      <w:divBdr>
        <w:top w:val="none" w:sz="0" w:space="0" w:color="auto"/>
        <w:left w:val="none" w:sz="0" w:space="0" w:color="auto"/>
        <w:bottom w:val="none" w:sz="0" w:space="0" w:color="auto"/>
        <w:right w:val="none" w:sz="0" w:space="0" w:color="auto"/>
      </w:divBdr>
    </w:div>
    <w:div w:id="1175800946">
      <w:bodyDiv w:val="1"/>
      <w:marLeft w:val="0"/>
      <w:marRight w:val="0"/>
      <w:marTop w:val="0"/>
      <w:marBottom w:val="0"/>
      <w:divBdr>
        <w:top w:val="none" w:sz="0" w:space="0" w:color="auto"/>
        <w:left w:val="none" w:sz="0" w:space="0" w:color="auto"/>
        <w:bottom w:val="none" w:sz="0" w:space="0" w:color="auto"/>
        <w:right w:val="none" w:sz="0" w:space="0" w:color="auto"/>
      </w:divBdr>
    </w:div>
    <w:div w:id="1225071438">
      <w:bodyDiv w:val="1"/>
      <w:marLeft w:val="0"/>
      <w:marRight w:val="0"/>
      <w:marTop w:val="0"/>
      <w:marBottom w:val="0"/>
      <w:divBdr>
        <w:top w:val="none" w:sz="0" w:space="0" w:color="auto"/>
        <w:left w:val="none" w:sz="0" w:space="0" w:color="auto"/>
        <w:bottom w:val="none" w:sz="0" w:space="0" w:color="auto"/>
        <w:right w:val="none" w:sz="0" w:space="0" w:color="auto"/>
      </w:divBdr>
    </w:div>
    <w:div w:id="1312712071">
      <w:bodyDiv w:val="1"/>
      <w:marLeft w:val="0"/>
      <w:marRight w:val="0"/>
      <w:marTop w:val="0"/>
      <w:marBottom w:val="0"/>
      <w:divBdr>
        <w:top w:val="none" w:sz="0" w:space="0" w:color="auto"/>
        <w:left w:val="none" w:sz="0" w:space="0" w:color="auto"/>
        <w:bottom w:val="none" w:sz="0" w:space="0" w:color="auto"/>
        <w:right w:val="none" w:sz="0" w:space="0" w:color="auto"/>
      </w:divBdr>
    </w:div>
    <w:div w:id="1328946034">
      <w:bodyDiv w:val="1"/>
      <w:marLeft w:val="0"/>
      <w:marRight w:val="0"/>
      <w:marTop w:val="0"/>
      <w:marBottom w:val="0"/>
      <w:divBdr>
        <w:top w:val="none" w:sz="0" w:space="0" w:color="auto"/>
        <w:left w:val="none" w:sz="0" w:space="0" w:color="auto"/>
        <w:bottom w:val="none" w:sz="0" w:space="0" w:color="auto"/>
        <w:right w:val="none" w:sz="0" w:space="0" w:color="auto"/>
      </w:divBdr>
    </w:div>
    <w:div w:id="1404373544">
      <w:bodyDiv w:val="1"/>
      <w:marLeft w:val="0"/>
      <w:marRight w:val="0"/>
      <w:marTop w:val="0"/>
      <w:marBottom w:val="0"/>
      <w:divBdr>
        <w:top w:val="none" w:sz="0" w:space="0" w:color="auto"/>
        <w:left w:val="none" w:sz="0" w:space="0" w:color="auto"/>
        <w:bottom w:val="none" w:sz="0" w:space="0" w:color="auto"/>
        <w:right w:val="none" w:sz="0" w:space="0" w:color="auto"/>
      </w:divBdr>
    </w:div>
    <w:div w:id="1414545381">
      <w:bodyDiv w:val="1"/>
      <w:marLeft w:val="0"/>
      <w:marRight w:val="0"/>
      <w:marTop w:val="0"/>
      <w:marBottom w:val="0"/>
      <w:divBdr>
        <w:top w:val="none" w:sz="0" w:space="0" w:color="auto"/>
        <w:left w:val="none" w:sz="0" w:space="0" w:color="auto"/>
        <w:bottom w:val="none" w:sz="0" w:space="0" w:color="auto"/>
        <w:right w:val="none" w:sz="0" w:space="0" w:color="auto"/>
      </w:divBdr>
    </w:div>
    <w:div w:id="1463040766">
      <w:bodyDiv w:val="1"/>
      <w:marLeft w:val="0"/>
      <w:marRight w:val="0"/>
      <w:marTop w:val="0"/>
      <w:marBottom w:val="0"/>
      <w:divBdr>
        <w:top w:val="none" w:sz="0" w:space="0" w:color="auto"/>
        <w:left w:val="none" w:sz="0" w:space="0" w:color="auto"/>
        <w:bottom w:val="none" w:sz="0" w:space="0" w:color="auto"/>
        <w:right w:val="none" w:sz="0" w:space="0" w:color="auto"/>
      </w:divBdr>
    </w:div>
    <w:div w:id="1474909389">
      <w:bodyDiv w:val="1"/>
      <w:marLeft w:val="0"/>
      <w:marRight w:val="0"/>
      <w:marTop w:val="0"/>
      <w:marBottom w:val="0"/>
      <w:divBdr>
        <w:top w:val="none" w:sz="0" w:space="0" w:color="auto"/>
        <w:left w:val="none" w:sz="0" w:space="0" w:color="auto"/>
        <w:bottom w:val="none" w:sz="0" w:space="0" w:color="auto"/>
        <w:right w:val="none" w:sz="0" w:space="0" w:color="auto"/>
      </w:divBdr>
    </w:div>
    <w:div w:id="1509514665">
      <w:bodyDiv w:val="1"/>
      <w:marLeft w:val="0"/>
      <w:marRight w:val="0"/>
      <w:marTop w:val="0"/>
      <w:marBottom w:val="0"/>
      <w:divBdr>
        <w:top w:val="none" w:sz="0" w:space="0" w:color="auto"/>
        <w:left w:val="none" w:sz="0" w:space="0" w:color="auto"/>
        <w:bottom w:val="none" w:sz="0" w:space="0" w:color="auto"/>
        <w:right w:val="none" w:sz="0" w:space="0" w:color="auto"/>
      </w:divBdr>
    </w:div>
    <w:div w:id="1511338647">
      <w:bodyDiv w:val="1"/>
      <w:marLeft w:val="0"/>
      <w:marRight w:val="0"/>
      <w:marTop w:val="0"/>
      <w:marBottom w:val="0"/>
      <w:divBdr>
        <w:top w:val="none" w:sz="0" w:space="0" w:color="auto"/>
        <w:left w:val="none" w:sz="0" w:space="0" w:color="auto"/>
        <w:bottom w:val="none" w:sz="0" w:space="0" w:color="auto"/>
        <w:right w:val="none" w:sz="0" w:space="0" w:color="auto"/>
      </w:divBdr>
    </w:div>
    <w:div w:id="1555699389">
      <w:bodyDiv w:val="1"/>
      <w:marLeft w:val="0"/>
      <w:marRight w:val="0"/>
      <w:marTop w:val="0"/>
      <w:marBottom w:val="0"/>
      <w:divBdr>
        <w:top w:val="none" w:sz="0" w:space="0" w:color="auto"/>
        <w:left w:val="none" w:sz="0" w:space="0" w:color="auto"/>
        <w:bottom w:val="none" w:sz="0" w:space="0" w:color="auto"/>
        <w:right w:val="none" w:sz="0" w:space="0" w:color="auto"/>
      </w:divBdr>
    </w:div>
    <w:div w:id="1592859247">
      <w:bodyDiv w:val="1"/>
      <w:marLeft w:val="0"/>
      <w:marRight w:val="0"/>
      <w:marTop w:val="0"/>
      <w:marBottom w:val="0"/>
      <w:divBdr>
        <w:top w:val="none" w:sz="0" w:space="0" w:color="auto"/>
        <w:left w:val="none" w:sz="0" w:space="0" w:color="auto"/>
        <w:bottom w:val="none" w:sz="0" w:space="0" w:color="auto"/>
        <w:right w:val="none" w:sz="0" w:space="0" w:color="auto"/>
      </w:divBdr>
    </w:div>
    <w:div w:id="1634827474">
      <w:bodyDiv w:val="1"/>
      <w:marLeft w:val="0"/>
      <w:marRight w:val="0"/>
      <w:marTop w:val="0"/>
      <w:marBottom w:val="0"/>
      <w:divBdr>
        <w:top w:val="none" w:sz="0" w:space="0" w:color="auto"/>
        <w:left w:val="none" w:sz="0" w:space="0" w:color="auto"/>
        <w:bottom w:val="none" w:sz="0" w:space="0" w:color="auto"/>
        <w:right w:val="none" w:sz="0" w:space="0" w:color="auto"/>
      </w:divBdr>
    </w:div>
    <w:div w:id="1672179794">
      <w:bodyDiv w:val="1"/>
      <w:marLeft w:val="0"/>
      <w:marRight w:val="0"/>
      <w:marTop w:val="0"/>
      <w:marBottom w:val="0"/>
      <w:divBdr>
        <w:top w:val="none" w:sz="0" w:space="0" w:color="auto"/>
        <w:left w:val="none" w:sz="0" w:space="0" w:color="auto"/>
        <w:bottom w:val="none" w:sz="0" w:space="0" w:color="auto"/>
        <w:right w:val="none" w:sz="0" w:space="0" w:color="auto"/>
      </w:divBdr>
    </w:div>
    <w:div w:id="1681859408">
      <w:bodyDiv w:val="1"/>
      <w:marLeft w:val="0"/>
      <w:marRight w:val="0"/>
      <w:marTop w:val="0"/>
      <w:marBottom w:val="0"/>
      <w:divBdr>
        <w:top w:val="none" w:sz="0" w:space="0" w:color="auto"/>
        <w:left w:val="none" w:sz="0" w:space="0" w:color="auto"/>
        <w:bottom w:val="none" w:sz="0" w:space="0" w:color="auto"/>
        <w:right w:val="none" w:sz="0" w:space="0" w:color="auto"/>
      </w:divBdr>
    </w:div>
    <w:div w:id="1720738302">
      <w:bodyDiv w:val="1"/>
      <w:marLeft w:val="0"/>
      <w:marRight w:val="0"/>
      <w:marTop w:val="0"/>
      <w:marBottom w:val="0"/>
      <w:divBdr>
        <w:top w:val="none" w:sz="0" w:space="0" w:color="auto"/>
        <w:left w:val="none" w:sz="0" w:space="0" w:color="auto"/>
        <w:bottom w:val="none" w:sz="0" w:space="0" w:color="auto"/>
        <w:right w:val="none" w:sz="0" w:space="0" w:color="auto"/>
      </w:divBdr>
    </w:div>
    <w:div w:id="1756439291">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2068263216">
      <w:bodyDiv w:val="1"/>
      <w:marLeft w:val="0"/>
      <w:marRight w:val="0"/>
      <w:marTop w:val="0"/>
      <w:marBottom w:val="0"/>
      <w:divBdr>
        <w:top w:val="none" w:sz="0" w:space="0" w:color="auto"/>
        <w:left w:val="none" w:sz="0" w:space="0" w:color="auto"/>
        <w:bottom w:val="none" w:sz="0" w:space="0" w:color="auto"/>
        <w:right w:val="none" w:sz="0" w:space="0" w:color="auto"/>
      </w:divBdr>
    </w:div>
    <w:div w:id="2107769542">
      <w:bodyDiv w:val="1"/>
      <w:marLeft w:val="0"/>
      <w:marRight w:val="0"/>
      <w:marTop w:val="0"/>
      <w:marBottom w:val="0"/>
      <w:divBdr>
        <w:top w:val="none" w:sz="0" w:space="0" w:color="auto"/>
        <w:left w:val="none" w:sz="0" w:space="0" w:color="auto"/>
        <w:bottom w:val="none" w:sz="0" w:space="0" w:color="auto"/>
        <w:right w:val="none" w:sz="0" w:space="0" w:color="auto"/>
      </w:divBdr>
    </w:div>
    <w:div w:id="211729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54E5-AF4F-4CB0-B2EB-EF5AC0DE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Pages>
  <Words>4442</Words>
  <Characters>2533</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361</cp:revision>
  <cp:lastPrinted>2023-03-16T08:35:00Z</cp:lastPrinted>
  <dcterms:created xsi:type="dcterms:W3CDTF">2023-03-06T08:01:00Z</dcterms:created>
  <dcterms:modified xsi:type="dcterms:W3CDTF">2023-03-31T08:17:00Z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1E0118C11AEF46DBA227E3F31FC7864E</vt:lpwstr>
  </property>
</Properties>
</file>