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FE0C" w14:textId="4347BEE9" w:rsidR="009671C2" w:rsidRDefault="009671C2" w:rsidP="00A0169F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Перелік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змін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до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документації</w:t>
      </w:r>
      <w:proofErr w:type="spellEnd"/>
    </w:p>
    <w:p w14:paraId="1D08D828" w14:textId="6E70CFDD" w:rsidR="00D03C20" w:rsidRDefault="005F7E3A" w:rsidP="00D03C20">
      <w:pPr>
        <w:spacing w:after="0" w:line="240" w:lineRule="auto"/>
        <w:contextualSpacing/>
        <w:jc w:val="both"/>
        <w:rPr>
          <w:rFonts w:eastAsia="Times New Roman"/>
          <w:b/>
          <w:bCs/>
          <w:sz w:val="20"/>
          <w:szCs w:val="20"/>
          <w:lang w:eastAsia="zh-CN"/>
        </w:rPr>
      </w:pPr>
      <w:proofErr w:type="spellStart"/>
      <w:r w:rsidRPr="009671C2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proofErr w:type="spellEnd"/>
      <w:r>
        <w:rPr>
          <w:rFonts w:eastAsia="Times New Roman"/>
          <w:b/>
          <w:bCs/>
          <w:sz w:val="20"/>
          <w:szCs w:val="20"/>
          <w:lang w:val="ru-RU" w:eastAsia="ru-RU"/>
        </w:rPr>
        <w:t xml:space="preserve"> – </w:t>
      </w:r>
      <w:r w:rsidR="00D03C20" w:rsidRPr="008E4085">
        <w:rPr>
          <w:rFonts w:eastAsia="Times New Roman"/>
          <w:b/>
          <w:bCs/>
          <w:sz w:val="20"/>
          <w:szCs w:val="20"/>
          <w:lang w:eastAsia="zh-CN"/>
        </w:rPr>
        <w:t xml:space="preserve">Розділ ІІІ.  Документи, які учасник повинен надати для підтвердження технічних та якісних характеристики предмета закупівлі при подачі пропозиції </w:t>
      </w:r>
      <w:r w:rsidR="00D03C20">
        <w:rPr>
          <w:rFonts w:eastAsia="Times New Roman"/>
          <w:b/>
          <w:bCs/>
          <w:sz w:val="20"/>
          <w:szCs w:val="20"/>
          <w:lang w:eastAsia="zh-CN"/>
        </w:rPr>
        <w:t>Додатку 2 до тендерної документації</w:t>
      </w:r>
    </w:p>
    <w:p w14:paraId="1D967AF5" w14:textId="7759292E" w:rsidR="005F7E3A" w:rsidRDefault="005F7E3A" w:rsidP="005F7E3A">
      <w:pPr>
        <w:spacing w:after="0" w:line="240" w:lineRule="auto"/>
        <w:rPr>
          <w:rFonts w:eastAsia="Times New Roman"/>
          <w:bCs/>
          <w:sz w:val="20"/>
          <w:szCs w:val="20"/>
          <w:lang w:val="ru-RU" w:eastAsia="ru-RU"/>
        </w:rPr>
      </w:pPr>
    </w:p>
    <w:p w14:paraId="5738C43A" w14:textId="77777777" w:rsidR="005F7E3A" w:rsidRDefault="005F7E3A" w:rsidP="005F7E3A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Стара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740A0B65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1. Найменування, технічні характеристики (значення) запропонованого товару шляхом заповнення Таблиці 2 додатку 2 до тендерної документації. Таблиця повинна містити точне найменування товару, яке пропонується учасником та його країну походження .</w:t>
      </w:r>
    </w:p>
    <w:p w14:paraId="406411EF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14:paraId="5A10DB8F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 xml:space="preserve">2. Якість товару має бути підтверджено в тендерній пропозиції </w:t>
      </w:r>
      <w:proofErr w:type="spellStart"/>
      <w:r w:rsidRPr="00D03C20">
        <w:rPr>
          <w:rFonts w:eastAsia="Times New Roman"/>
          <w:bCs/>
          <w:sz w:val="20"/>
          <w:szCs w:val="20"/>
          <w:lang w:eastAsia="ru-RU"/>
        </w:rPr>
        <w:t>скан</w:t>
      </w:r>
      <w:proofErr w:type="spellEnd"/>
      <w:r w:rsidRPr="00D03C20">
        <w:rPr>
          <w:rFonts w:eastAsia="Times New Roman"/>
          <w:bCs/>
          <w:sz w:val="20"/>
          <w:szCs w:val="20"/>
          <w:lang w:eastAsia="ru-RU"/>
        </w:rPr>
        <w:t xml:space="preserve">-копією відповідних документів: посвідчення якості товару або технічний паспорт на товар які видані виробником товару, в документі повинні бити зазначені відомості: назва та адреса виробника, назва товару, відомості про хімічний та гранулометричний склад товару, вміст вологи, відповідність товару ДСТУ 8853:2019 або EN 16811-1:2016. </w:t>
      </w:r>
    </w:p>
    <w:p w14:paraId="53C3DFB4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Якщо документ про якість товару наданий виробником оформлений не Українською мовою учасник повинен надати переклад Документу на Українську мову, здійснений перекладачем, з нотаріальним засвідченням підпису перекладача на території України.</w:t>
      </w:r>
    </w:p>
    <w:p w14:paraId="1C69E5AB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bookmarkStart w:id="0" w:name="_Hlk150439821"/>
      <w:r w:rsidRPr="00D03C20">
        <w:rPr>
          <w:rFonts w:eastAsia="Times New Roman"/>
          <w:bCs/>
          <w:sz w:val="20"/>
          <w:szCs w:val="20"/>
          <w:lang w:eastAsia="ru-RU"/>
        </w:rPr>
        <w:t xml:space="preserve">Якщо в наданих виробником документах про якість відсутні відомості про відповідність товару вимогам ДСТУ 8853:2019 або EN 16811-1:2016, а товар виробляється відповідно інших нормативних документів ніж зазначено, якість товару повинна бути додатково підтверджена «Сертифікатом відповідності» та «Протоколом сертифікаційних випробувань» замовленим Учасником закупівлі у відповідній установі що має сертифіковану або акредитовану  лабораторією на території України. Наявність сертифікації або акредитації установи що проводила дослідження підтвердити відповідними документами: </w:t>
      </w:r>
      <w:proofErr w:type="spellStart"/>
      <w:r w:rsidRPr="00D03C20">
        <w:rPr>
          <w:rFonts w:eastAsia="Times New Roman"/>
          <w:bCs/>
          <w:sz w:val="20"/>
          <w:szCs w:val="20"/>
          <w:lang w:eastAsia="ru-RU"/>
        </w:rPr>
        <w:t>Скан</w:t>
      </w:r>
      <w:proofErr w:type="spellEnd"/>
      <w:r w:rsidRPr="00D03C20">
        <w:rPr>
          <w:rFonts w:eastAsia="Times New Roman"/>
          <w:bCs/>
          <w:sz w:val="20"/>
          <w:szCs w:val="20"/>
          <w:lang w:eastAsia="ru-RU"/>
        </w:rPr>
        <w:t xml:space="preserve">-копію свідоцтва/сертифікату про сертифікацію або акредитацію «Визначення вимірювальних можливостей випробувальної лабораторії», копію свідоцтва про відповідність системи керування вимірюваннями вимогам ДСТУ ISO 10012:2005, документи надаються з додатком, де вказано галузь (сертифікації або акредитації). </w:t>
      </w:r>
    </w:p>
    <w:p w14:paraId="259C8C77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Вказані документи мають бути дійсними(чинними) на дату проведення досліджень.</w:t>
      </w:r>
    </w:p>
    <w:bookmarkEnd w:id="0"/>
    <w:p w14:paraId="01C585AE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14:paraId="11A60C87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3. Гарантійний лист у довільний формі щодо відповідності пропозиції технічним, якісним, кількісним характеристикам предмета закупівлі, у тому числі технічній специфікації та іншим вимогам до предмета закупівлі, що містяться в тендерній документації та цьому додатку; поставки товару у строки, що передбачені умовами тендерної документації;  укладення та виконання договору на умовах, що викладені замовником у додатку №3 до тендерної документації (</w:t>
      </w:r>
      <w:proofErr w:type="spellStart"/>
      <w:r w:rsidRPr="00D03C20">
        <w:rPr>
          <w:rFonts w:eastAsia="Times New Roman"/>
          <w:bCs/>
          <w:sz w:val="20"/>
          <w:szCs w:val="20"/>
          <w:lang w:eastAsia="ru-RU"/>
        </w:rPr>
        <w:t>проєкт</w:t>
      </w:r>
      <w:proofErr w:type="spellEnd"/>
      <w:r w:rsidRPr="00D03C20">
        <w:rPr>
          <w:rFonts w:eastAsia="Times New Roman"/>
          <w:bCs/>
          <w:sz w:val="20"/>
          <w:szCs w:val="20"/>
          <w:lang w:eastAsia="ru-RU"/>
        </w:rPr>
        <w:t xml:space="preserve"> договору).</w:t>
      </w:r>
    </w:p>
    <w:p w14:paraId="2A3B3FE2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14:paraId="3E0E8B5B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4. Відомості про виробника товару та країну походження (назва юридичної особи, адреса реєстрації):</w:t>
      </w:r>
    </w:p>
    <w:p w14:paraId="4F04FC1F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 xml:space="preserve">- для підтвердження взаємовідносин учасника процедури закупівлі з виробником Товару та/або офіційним представником виробника Товару/дилером та/або  іншим суб’єктом господарювання у якого учасник придбав товар, надати  копію договору або договорів разом з документами що підтверджують такий статус (договір, сертифікат, </w:t>
      </w:r>
      <w:proofErr w:type="spellStart"/>
      <w:r w:rsidRPr="00D03C20">
        <w:rPr>
          <w:rFonts w:eastAsia="Times New Roman"/>
          <w:bCs/>
          <w:sz w:val="20"/>
          <w:szCs w:val="20"/>
          <w:lang w:eastAsia="ru-RU"/>
        </w:rPr>
        <w:t>авторизаційний</w:t>
      </w:r>
      <w:proofErr w:type="spellEnd"/>
      <w:r w:rsidRPr="00D03C20">
        <w:rPr>
          <w:rFonts w:eastAsia="Times New Roman"/>
          <w:bCs/>
          <w:sz w:val="20"/>
          <w:szCs w:val="20"/>
          <w:lang w:eastAsia="ru-RU"/>
        </w:rPr>
        <w:t xml:space="preserve"> лист) (інформація про вартість товару та загальна сума договору учасники можуть не відкривати), обсяг товару що закуповується відповідно договору(договорів) повинен бути не менше обсягу цієї закупівлі. </w:t>
      </w:r>
    </w:p>
    <w:p w14:paraId="0943D80C" w14:textId="77777777" w:rsid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У разі якщо умови договору не містять обсягу закупівлі або назви товару або відомостей про відповідність товару вимогам  ДСТУ 8853:2019 або EN 16811-1:2016, або зазначені відомості не відповідають вимогам тендерної документації, учасники додатково повинні надати лист-гарантію що запропонований ними товар  відповідність   вимогам  ДСТУ 8853:2019 або EN 16811-1:2016.</w:t>
      </w:r>
    </w:p>
    <w:p w14:paraId="4F4F3F6B" w14:textId="07B6C22C" w:rsidR="005F7E3A" w:rsidRPr="00A0169F" w:rsidRDefault="005F7E3A" w:rsidP="00D03C20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Нова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6D38A93E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1. Найменування, технічні характеристики (значення) запропонованого товару шляхом заповнення Таблиці 2 додатку 2 до тендерної документації. Таблиця повинна містити точне найменування товару, яке пропонується учасником та його країну походження .</w:t>
      </w:r>
    </w:p>
    <w:p w14:paraId="31C191D5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14:paraId="6A0457D7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bookmarkStart w:id="1" w:name="_Hlk150439872"/>
      <w:r w:rsidRPr="00D03C20">
        <w:rPr>
          <w:rFonts w:eastAsia="Times New Roman"/>
          <w:bCs/>
          <w:sz w:val="20"/>
          <w:szCs w:val="20"/>
          <w:lang w:eastAsia="ru-RU"/>
        </w:rPr>
        <w:t xml:space="preserve">2. Якість товару має бути підтверджено в тендерній пропозиції </w:t>
      </w:r>
      <w:proofErr w:type="spellStart"/>
      <w:r w:rsidRPr="00D03C20">
        <w:rPr>
          <w:rFonts w:eastAsia="Times New Roman"/>
          <w:bCs/>
          <w:sz w:val="20"/>
          <w:szCs w:val="20"/>
          <w:lang w:eastAsia="ru-RU"/>
        </w:rPr>
        <w:t>скан</w:t>
      </w:r>
      <w:proofErr w:type="spellEnd"/>
      <w:r w:rsidRPr="00D03C20">
        <w:rPr>
          <w:rFonts w:eastAsia="Times New Roman"/>
          <w:bCs/>
          <w:sz w:val="20"/>
          <w:szCs w:val="20"/>
          <w:lang w:eastAsia="ru-RU"/>
        </w:rPr>
        <w:t xml:space="preserve">-копією відповідних документів: посвідчення якості товару або технічний паспорт на товар які видані виробником товару, в документі повинні бити зазначені відомості: назва та адреса виробника, назва товару, відомості про хімічний та гранулометричний склад товару, вміст вологи, відповідність товару ДСТУ 8853:2019 або EN 16811-1:2016. </w:t>
      </w:r>
    </w:p>
    <w:p w14:paraId="43AACD8A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Якщо документ про якість товару наданий виробником оформлений не Українською мовою учасник повинен надати переклад Документу на Українську мову, здійснений перекладачем, з нотаріальним засвідченням підпису перекладача на території України.</w:t>
      </w:r>
    </w:p>
    <w:p w14:paraId="5E7AAF2E" w14:textId="469FA648" w:rsidR="001546B4" w:rsidRPr="001546B4" w:rsidRDefault="001546B4" w:rsidP="001546B4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1546B4">
        <w:rPr>
          <w:rFonts w:eastAsia="Times New Roman"/>
          <w:bCs/>
          <w:sz w:val="20"/>
          <w:szCs w:val="20"/>
          <w:lang w:eastAsia="ru-RU"/>
        </w:rPr>
        <w:t xml:space="preserve">Якщо в наданих виробником документах про якість відсутні відомості про відповідність товару вимогам ДСТУ 8853:2019 або EN 16811-1:2016, а товар виробляється відповідно інших нормативних документів ніж зазначено, якість товару повинна бути додатково підтверджена «Сертифікатом відповідності» та «Протоколом сертифікаційних випробувань» замовленим Учасником закупівлі у відповідній установі що має сертифіковану або акредитовану  лабораторією на території України. Наявність сертифікації або акредитації установи що проводила дослідження підтвердити відповідними документами: </w:t>
      </w:r>
      <w:proofErr w:type="spellStart"/>
      <w:r w:rsidRPr="001546B4">
        <w:rPr>
          <w:rFonts w:eastAsia="Times New Roman"/>
          <w:bCs/>
          <w:sz w:val="20"/>
          <w:szCs w:val="20"/>
          <w:lang w:eastAsia="ru-RU"/>
        </w:rPr>
        <w:t>Скан</w:t>
      </w:r>
      <w:proofErr w:type="spellEnd"/>
      <w:r w:rsidRPr="001546B4">
        <w:rPr>
          <w:rFonts w:eastAsia="Times New Roman"/>
          <w:bCs/>
          <w:sz w:val="20"/>
          <w:szCs w:val="20"/>
          <w:lang w:eastAsia="ru-RU"/>
        </w:rPr>
        <w:t xml:space="preserve">-копію </w:t>
      </w:r>
      <w:r w:rsidRPr="001546B4">
        <w:rPr>
          <w:rFonts w:eastAsia="Times New Roman"/>
          <w:bCs/>
          <w:sz w:val="20"/>
          <w:szCs w:val="20"/>
          <w:lang w:eastAsia="ru-RU"/>
        </w:rPr>
        <w:lastRenderedPageBreak/>
        <w:t>свідоцтва/сертифікату про сертифікацію або акредитацію «Визначення вимірювальних можливостей випробувальної лабораторії»</w:t>
      </w:r>
      <w:r>
        <w:rPr>
          <w:rFonts w:eastAsia="Times New Roman"/>
          <w:bCs/>
          <w:sz w:val="20"/>
          <w:szCs w:val="20"/>
          <w:lang w:eastAsia="ru-RU"/>
        </w:rPr>
        <w:t>.</w:t>
      </w:r>
    </w:p>
    <w:p w14:paraId="1CB8EF53" w14:textId="239F5825" w:rsidR="00D03C20" w:rsidRPr="00D03C20" w:rsidRDefault="001546B4" w:rsidP="001546B4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1546B4">
        <w:rPr>
          <w:rFonts w:eastAsia="Times New Roman"/>
          <w:bCs/>
          <w:sz w:val="20"/>
          <w:szCs w:val="20"/>
          <w:lang w:eastAsia="ru-RU"/>
        </w:rPr>
        <w:t>Вказані документи мають бути дійсними(чинними) на дату проведення досліджень.</w:t>
      </w:r>
    </w:p>
    <w:bookmarkEnd w:id="1"/>
    <w:p w14:paraId="7DC1F487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3. Гарантійний лист у довільний формі щодо відповідності пропозиції технічним, якісним, кількісним характеристикам предмета закупівлі, у тому числі технічній специфікації та іншим вимогам до предмета закупівлі, що містяться в тендерній документації та цьому додатку; поставки товару у строки, що передбачені умовами тендерної документації;  укладення та виконання договору на умовах, що викладені замовником у додатку №3 до тендерної документації (</w:t>
      </w:r>
      <w:proofErr w:type="spellStart"/>
      <w:r w:rsidRPr="00D03C20">
        <w:rPr>
          <w:rFonts w:eastAsia="Times New Roman"/>
          <w:bCs/>
          <w:sz w:val="20"/>
          <w:szCs w:val="20"/>
          <w:lang w:eastAsia="ru-RU"/>
        </w:rPr>
        <w:t>проєкт</w:t>
      </w:r>
      <w:proofErr w:type="spellEnd"/>
      <w:r w:rsidRPr="00D03C20">
        <w:rPr>
          <w:rFonts w:eastAsia="Times New Roman"/>
          <w:bCs/>
          <w:sz w:val="20"/>
          <w:szCs w:val="20"/>
          <w:lang w:eastAsia="ru-RU"/>
        </w:rPr>
        <w:t xml:space="preserve"> договору).</w:t>
      </w:r>
    </w:p>
    <w:p w14:paraId="14CED3C9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14:paraId="5D9F797E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4. Відомості про виробника товару та країну походження (назва юридичної особи, адреса реєстрації):</w:t>
      </w:r>
    </w:p>
    <w:p w14:paraId="4A04CECF" w14:textId="77777777" w:rsidR="00D03C20" w:rsidRP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 xml:space="preserve">- для підтвердження взаємовідносин учасника процедури закупівлі з виробником Товару та/або офіційним представником виробника Товару/дилером та/або  іншим суб’єктом господарювання у якого учасник придбав товар, надати  копію договору або договорів разом з документами що підтверджують такий статус (договір, сертифікат, </w:t>
      </w:r>
      <w:proofErr w:type="spellStart"/>
      <w:r w:rsidRPr="00D03C20">
        <w:rPr>
          <w:rFonts w:eastAsia="Times New Roman"/>
          <w:bCs/>
          <w:sz w:val="20"/>
          <w:szCs w:val="20"/>
          <w:lang w:eastAsia="ru-RU"/>
        </w:rPr>
        <w:t>авторизаційний</w:t>
      </w:r>
      <w:proofErr w:type="spellEnd"/>
      <w:r w:rsidRPr="00D03C20">
        <w:rPr>
          <w:rFonts w:eastAsia="Times New Roman"/>
          <w:bCs/>
          <w:sz w:val="20"/>
          <w:szCs w:val="20"/>
          <w:lang w:eastAsia="ru-RU"/>
        </w:rPr>
        <w:t xml:space="preserve"> лист) (інформація про вартість товару та загальна сума договору учасники можуть не відкривати), обсяг товару що закуповується відповідно договору(договорів) повинен бути не менше обсягу цієї закупівлі. </w:t>
      </w:r>
    </w:p>
    <w:p w14:paraId="5D85A37A" w14:textId="77777777" w:rsid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У разі якщо умови договору не містять обсягу закупівлі або назви товару або відомостей про відповідність товару вимогам  ДСТУ 8853:2019 або EN 16811-1:2016, або зазначені відомості не відповідають вимогам тендерної документації, учасники додатково повинні надати лист-гарантію що запропонований ними товар  відповідність   вимогам  ДСТУ 8853:2019 або EN 16811-1:2016.</w:t>
      </w:r>
    </w:p>
    <w:p w14:paraId="48001396" w14:textId="77777777" w:rsidR="00D03C20" w:rsidRDefault="00D03C20" w:rsidP="00D03C20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14:paraId="6D3AB160" w14:textId="48112FB8" w:rsidR="008B5733" w:rsidRPr="00D03C20" w:rsidRDefault="008B5733" w:rsidP="008B5733">
      <w:pPr>
        <w:spacing w:after="0" w:line="240" w:lineRule="auto"/>
        <w:rPr>
          <w:rFonts w:eastAsia="Times New Roman"/>
          <w:b/>
          <w:bCs/>
          <w:sz w:val="20"/>
          <w:szCs w:val="20"/>
          <w:lang w:val="ru-RU" w:eastAsia="ru-RU"/>
        </w:rPr>
      </w:pPr>
      <w:proofErr w:type="spellStart"/>
      <w:r w:rsidRPr="00D03C20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proofErr w:type="spellEnd"/>
      <w:r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 – </w:t>
      </w:r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п. </w:t>
      </w:r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10. </w:t>
      </w:r>
      <w:proofErr w:type="spellStart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>Гарантійні</w:t>
      </w:r>
      <w:proofErr w:type="spellEnd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>зобов’язання</w:t>
      </w:r>
      <w:proofErr w:type="spellEnd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. </w:t>
      </w:r>
      <w:proofErr w:type="spellStart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>Претензії</w:t>
      </w:r>
      <w:proofErr w:type="spellEnd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 у </w:t>
      </w:r>
      <w:proofErr w:type="spellStart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>зв’язку</w:t>
      </w:r>
      <w:proofErr w:type="spellEnd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 з </w:t>
      </w:r>
      <w:proofErr w:type="spellStart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>недоліками</w:t>
      </w:r>
      <w:proofErr w:type="spellEnd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>поставленого</w:t>
      </w:r>
      <w:proofErr w:type="spellEnd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 Товару</w:t>
      </w:r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>Додатку</w:t>
      </w:r>
      <w:proofErr w:type="spellEnd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 3</w:t>
      </w:r>
      <w:r w:rsidR="00FB57E1">
        <w:rPr>
          <w:rFonts w:eastAsia="Times New Roman"/>
          <w:b/>
          <w:bCs/>
          <w:sz w:val="20"/>
          <w:szCs w:val="20"/>
          <w:lang w:val="ru-RU" w:eastAsia="ru-RU"/>
        </w:rPr>
        <w:t xml:space="preserve"> до </w:t>
      </w:r>
      <w:proofErr w:type="spellStart"/>
      <w:r w:rsidR="00FB57E1">
        <w:rPr>
          <w:rFonts w:eastAsia="Times New Roman"/>
          <w:b/>
          <w:bCs/>
          <w:sz w:val="20"/>
          <w:szCs w:val="20"/>
          <w:lang w:val="ru-RU" w:eastAsia="ru-RU"/>
        </w:rPr>
        <w:t>тендерної</w:t>
      </w:r>
      <w:proofErr w:type="spellEnd"/>
      <w:r w:rsidR="00FB57E1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FB57E1">
        <w:rPr>
          <w:rFonts w:eastAsia="Times New Roman"/>
          <w:b/>
          <w:bCs/>
          <w:sz w:val="20"/>
          <w:szCs w:val="20"/>
          <w:lang w:val="ru-RU" w:eastAsia="ru-RU"/>
        </w:rPr>
        <w:t>документації</w:t>
      </w:r>
      <w:proofErr w:type="spellEnd"/>
      <w:r w:rsidR="00FB57E1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proofErr w:type="gramStart"/>
      <w:r w:rsidR="00FB57E1">
        <w:rPr>
          <w:rFonts w:eastAsia="Times New Roman"/>
          <w:b/>
          <w:bCs/>
          <w:sz w:val="20"/>
          <w:szCs w:val="20"/>
          <w:lang w:val="ru-RU" w:eastAsia="ru-RU"/>
        </w:rPr>
        <w:t xml:space="preserve">- </w:t>
      </w:r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>проєкт</w:t>
      </w:r>
      <w:proofErr w:type="spellEnd"/>
      <w:proofErr w:type="gramEnd"/>
      <w:r w:rsidR="00D03C20" w:rsidRPr="00D03C20">
        <w:rPr>
          <w:rFonts w:eastAsia="Times New Roman"/>
          <w:b/>
          <w:bCs/>
          <w:sz w:val="20"/>
          <w:szCs w:val="20"/>
          <w:lang w:val="ru-RU" w:eastAsia="ru-RU"/>
        </w:rPr>
        <w:t xml:space="preserve"> договору</w:t>
      </w:r>
    </w:p>
    <w:p w14:paraId="725D062D" w14:textId="77777777" w:rsidR="00D03C20" w:rsidRDefault="00D03C20" w:rsidP="008B5733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</w:p>
    <w:p w14:paraId="7FB3ADE7" w14:textId="762E897A" w:rsidR="008B5733" w:rsidRDefault="008B5733" w:rsidP="008B5733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Стара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3DE624C0" w14:textId="4C436797" w:rsidR="00D03C20" w:rsidRPr="00D03C20" w:rsidRDefault="00D03C20" w:rsidP="00831E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D03C20">
        <w:rPr>
          <w:rFonts w:eastAsia="Times New Roman"/>
          <w:bCs/>
          <w:sz w:val="20"/>
          <w:szCs w:val="20"/>
          <w:lang w:eastAsia="ru-RU"/>
        </w:rPr>
        <w:t>10.1. Вимоги щодо терміну придатності по залізобетонним виробам: гарантія згідно з гарантійним строком заводу-виробника.</w:t>
      </w:r>
    </w:p>
    <w:p w14:paraId="6110B770" w14:textId="77777777" w:rsidR="00D03C20" w:rsidRPr="00D03C20" w:rsidRDefault="00D03C20" w:rsidP="00D03C20">
      <w:pPr>
        <w:shd w:val="clear" w:color="auto" w:fill="FFFFFF"/>
        <w:tabs>
          <w:tab w:val="left" w:pos="14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zh-CN"/>
        </w:rPr>
      </w:pPr>
      <w:r w:rsidRPr="00D03C20">
        <w:rPr>
          <w:rFonts w:eastAsia="Times New Roman"/>
          <w:b/>
          <w:bCs/>
          <w:sz w:val="20"/>
          <w:szCs w:val="20"/>
          <w:lang w:eastAsia="zh-CN"/>
        </w:rPr>
        <w:t>10.2.</w:t>
      </w:r>
      <w:r w:rsidRPr="00D03C20">
        <w:rPr>
          <w:rFonts w:eastAsia="Times New Roman"/>
          <w:sz w:val="20"/>
          <w:szCs w:val="20"/>
          <w:lang w:eastAsia="zh-CN"/>
        </w:rPr>
        <w:t xml:space="preserve"> Питання, пов’язані з недоліками Товару вирішуються у відповідності з вимогами  ст. 268, ст. 269 Господарського кодексу України. Неякісний Товар повертається Постачальнику.</w:t>
      </w:r>
    </w:p>
    <w:p w14:paraId="50E9E578" w14:textId="77777777" w:rsidR="00D03C20" w:rsidRDefault="00D03C20" w:rsidP="00831E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14:paraId="33E712E7" w14:textId="58472F15" w:rsidR="008B5733" w:rsidRPr="00A0169F" w:rsidRDefault="008B5733" w:rsidP="00831ED2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Нова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5C8E632C" w14:textId="595A40BE" w:rsidR="00D03C20" w:rsidRPr="00D03C20" w:rsidRDefault="00D03C20" w:rsidP="00E973D7">
      <w:pPr>
        <w:suppressAutoHyphens/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bookmarkStart w:id="2" w:name="_Hlk150438530"/>
      <w:r w:rsidRPr="00D03C20">
        <w:rPr>
          <w:rFonts w:eastAsia="Times New Roman"/>
          <w:bCs/>
          <w:sz w:val="20"/>
          <w:szCs w:val="20"/>
          <w:lang w:eastAsia="ru-RU"/>
        </w:rPr>
        <w:t xml:space="preserve">10.1. Вимоги щодо терміну придатності по </w:t>
      </w:r>
      <w:r w:rsidRPr="00D03C20">
        <w:rPr>
          <w:rFonts w:eastAsia="Times New Roman"/>
          <w:bCs/>
          <w:sz w:val="20"/>
          <w:szCs w:val="20"/>
          <w:lang w:eastAsia="ru-RU"/>
        </w:rPr>
        <w:t>товару, що є предметом договору</w:t>
      </w:r>
      <w:r w:rsidRPr="00D03C20">
        <w:rPr>
          <w:rFonts w:eastAsia="Times New Roman"/>
          <w:bCs/>
          <w:sz w:val="20"/>
          <w:szCs w:val="20"/>
          <w:lang w:eastAsia="ru-RU"/>
        </w:rPr>
        <w:t>: гарантія згідно з гарантійним строком заводу-виробника.</w:t>
      </w:r>
    </w:p>
    <w:p w14:paraId="2E6E52E3" w14:textId="77777777" w:rsidR="00D03C20" w:rsidRPr="00D03C20" w:rsidRDefault="00D03C20" w:rsidP="00D03C20">
      <w:pPr>
        <w:shd w:val="clear" w:color="auto" w:fill="FFFFFF"/>
        <w:tabs>
          <w:tab w:val="left" w:pos="14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zh-CN"/>
        </w:rPr>
      </w:pPr>
      <w:r w:rsidRPr="00D03C20">
        <w:rPr>
          <w:rFonts w:eastAsia="Times New Roman"/>
          <w:b/>
          <w:bCs/>
          <w:sz w:val="20"/>
          <w:szCs w:val="20"/>
          <w:lang w:eastAsia="zh-CN"/>
        </w:rPr>
        <w:t>10.2.</w:t>
      </w:r>
      <w:r w:rsidRPr="00D03C20">
        <w:rPr>
          <w:rFonts w:eastAsia="Times New Roman"/>
          <w:sz w:val="20"/>
          <w:szCs w:val="20"/>
          <w:lang w:eastAsia="zh-CN"/>
        </w:rPr>
        <w:t xml:space="preserve"> Питання, пов’язані з недоліками Товару вирішуються у відповідності з вимогами  ст. 268, ст. 269 Господарського кодексу України. Неякісний Товар повертається Постачальнику.</w:t>
      </w:r>
    </w:p>
    <w:p w14:paraId="767298EE" w14:textId="77777777" w:rsidR="00D03C20" w:rsidRDefault="00D03C20" w:rsidP="00E973D7">
      <w:pPr>
        <w:suppressAutoHyphens/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bookmarkEnd w:id="2"/>
    <w:p w14:paraId="7CCB2DFA" w14:textId="77777777" w:rsidR="00D03C20" w:rsidRDefault="00D03C20" w:rsidP="00E973D7">
      <w:pPr>
        <w:suppressAutoHyphens/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14:paraId="5A004189" w14:textId="477A202B" w:rsidR="00D03C20" w:rsidRPr="00D03C20" w:rsidRDefault="00DD7172" w:rsidP="00D03C20">
      <w:pPr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</w:pPr>
      <w:proofErr w:type="spellStart"/>
      <w:r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Посилання</w:t>
      </w:r>
      <w:proofErr w:type="spellEnd"/>
      <w:r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 </w:t>
      </w:r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–</w:t>
      </w:r>
      <w:r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 </w:t>
      </w:r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п. </w:t>
      </w:r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11. </w:t>
      </w:r>
      <w:proofErr w:type="spellStart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Обставини</w:t>
      </w:r>
      <w:proofErr w:type="spellEnd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, </w:t>
      </w:r>
      <w:proofErr w:type="spellStart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що</w:t>
      </w:r>
      <w:proofErr w:type="spellEnd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 </w:t>
      </w:r>
      <w:proofErr w:type="spellStart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виключають</w:t>
      </w:r>
      <w:proofErr w:type="spellEnd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 </w:t>
      </w:r>
      <w:proofErr w:type="spellStart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відповідальність</w:t>
      </w:r>
      <w:proofErr w:type="spellEnd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 </w:t>
      </w:r>
      <w:proofErr w:type="spellStart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сторін</w:t>
      </w:r>
      <w:proofErr w:type="spellEnd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 (ФОРС-МАЖОР)</w:t>
      </w:r>
      <w:r w:rsidR="00E973D7" w:rsidRPr="00D03C20">
        <w:rPr>
          <w:rFonts w:eastAsia="Times New Roman"/>
          <w:b/>
          <w:bCs/>
          <w:color w:val="000000" w:themeColor="text1"/>
          <w:sz w:val="20"/>
          <w:szCs w:val="20"/>
          <w:lang w:eastAsia="zh-CN"/>
        </w:rPr>
        <w:t> </w:t>
      </w:r>
      <w:proofErr w:type="spellStart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Додатку</w:t>
      </w:r>
      <w:proofErr w:type="spellEnd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 3 </w:t>
      </w:r>
      <w:r w:rsidR="00FB57E1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до </w:t>
      </w:r>
      <w:proofErr w:type="spellStart"/>
      <w:r w:rsidR="00FB57E1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тендерної</w:t>
      </w:r>
      <w:proofErr w:type="spellEnd"/>
      <w:r w:rsidR="00FB57E1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 </w:t>
      </w:r>
      <w:proofErr w:type="spellStart"/>
      <w:r w:rsidR="00FB57E1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документації</w:t>
      </w:r>
      <w:proofErr w:type="spellEnd"/>
      <w:r w:rsidR="00FB57E1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 - </w:t>
      </w:r>
      <w:proofErr w:type="spellStart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проєкт</w:t>
      </w:r>
      <w:proofErr w:type="spellEnd"/>
      <w:r w:rsidR="00D03C20" w:rsidRPr="00D03C20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 xml:space="preserve"> договору</w:t>
      </w:r>
    </w:p>
    <w:p w14:paraId="529A86CC" w14:textId="56DEFFE2" w:rsidR="00E973D7" w:rsidRPr="00E973D7" w:rsidRDefault="00E973D7" w:rsidP="00E973D7">
      <w:pPr>
        <w:suppressAutoHyphens/>
        <w:spacing w:after="0" w:line="240" w:lineRule="auto"/>
        <w:rPr>
          <w:rFonts w:eastAsia="Times New Roman"/>
          <w:b/>
          <w:bCs/>
          <w:sz w:val="20"/>
          <w:szCs w:val="20"/>
          <w:lang w:eastAsia="zh-CN"/>
        </w:rPr>
      </w:pPr>
    </w:p>
    <w:p w14:paraId="0D321083" w14:textId="77777777" w:rsidR="00DD7172" w:rsidRPr="00A0169F" w:rsidRDefault="00DD7172" w:rsidP="00A0169F">
      <w:pPr>
        <w:suppressAutoHyphens/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14:paraId="54B0213E" w14:textId="77777777" w:rsidR="00DD7172" w:rsidRPr="00A0169F" w:rsidRDefault="00DD7172" w:rsidP="00A0169F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Стара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0E5C8F14" w14:textId="77777777" w:rsidR="00D03C20" w:rsidRPr="00D03C20" w:rsidRDefault="00D03C20" w:rsidP="00D03C20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uk-UA"/>
        </w:rPr>
      </w:pPr>
      <w:r w:rsidRPr="00D03C20">
        <w:rPr>
          <w:rFonts w:eastAsia="Times New Roman"/>
          <w:b/>
          <w:sz w:val="20"/>
          <w:szCs w:val="20"/>
          <w:lang w:eastAsia="zh-CN"/>
        </w:rPr>
        <w:t>11.1</w:t>
      </w:r>
      <w:r w:rsidRPr="00D03C20">
        <w:rPr>
          <w:rFonts w:eastAsia="Times New Roman"/>
          <w:sz w:val="20"/>
          <w:szCs w:val="20"/>
          <w:lang w:eastAsia="zh-CN"/>
        </w:rPr>
        <w:t xml:space="preserve">. </w:t>
      </w:r>
      <w:r w:rsidRPr="00D03C20">
        <w:rPr>
          <w:rFonts w:eastAsia="Times New Roman"/>
          <w:sz w:val="20"/>
          <w:szCs w:val="20"/>
          <w:lang w:eastAsia="uk-UA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(катастрофа, стихійне лихо, епідемія, епізоотія тощо). </w:t>
      </w:r>
    </w:p>
    <w:p w14:paraId="0FE9A37F" w14:textId="77777777" w:rsidR="00D03C20" w:rsidRPr="00D03C20" w:rsidRDefault="00D03C20" w:rsidP="00D03C20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uk-UA"/>
        </w:rPr>
      </w:pPr>
      <w:r w:rsidRPr="00D03C20">
        <w:rPr>
          <w:rFonts w:eastAsia="Times New Roman"/>
          <w:b/>
          <w:sz w:val="20"/>
          <w:szCs w:val="20"/>
          <w:lang w:eastAsia="uk-UA"/>
        </w:rPr>
        <w:t>11.2.</w:t>
      </w:r>
      <w:r w:rsidRPr="00D03C20">
        <w:rPr>
          <w:rFonts w:eastAsia="Times New Roman"/>
          <w:sz w:val="20"/>
          <w:szCs w:val="20"/>
          <w:lang w:eastAsia="uk-UA"/>
        </w:rPr>
        <w:t xml:space="preserve"> Воєнний стан, оголошений Указом Президента України від 24.02.2022 № 64 «Про введення воєнного стану в Україні» зі змінами, внесеними згідно з Указом Президента України від 26 липня 2023 року №451/2023 «Про продовження строку дії воєнного стану в Україні», затвердженого Законом України №3275-IX від 27.07.2023 та подальшими змінами, у разі їх внесення, не вважається обставиною непереборної сили для цілей виконання даного Договору.</w:t>
      </w:r>
    </w:p>
    <w:p w14:paraId="1131FF94" w14:textId="77777777" w:rsidR="00D03C20" w:rsidRPr="00D03C20" w:rsidRDefault="00D03C20" w:rsidP="00D03C20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uk-UA"/>
        </w:rPr>
      </w:pPr>
      <w:r w:rsidRPr="00D03C20">
        <w:rPr>
          <w:rFonts w:eastAsia="Times New Roman"/>
          <w:b/>
          <w:sz w:val="20"/>
          <w:szCs w:val="20"/>
          <w:lang w:eastAsia="uk-UA"/>
        </w:rPr>
        <w:t>11.3.</w:t>
      </w:r>
      <w:r w:rsidRPr="00D03C20">
        <w:rPr>
          <w:sz w:val="20"/>
          <w:szCs w:val="20"/>
        </w:rPr>
        <w:t xml:space="preserve"> </w:t>
      </w:r>
      <w:r w:rsidRPr="00D03C20">
        <w:rPr>
          <w:rFonts w:eastAsia="Times New Roman"/>
          <w:sz w:val="20"/>
          <w:szCs w:val="20"/>
          <w:lang w:eastAsia="uk-UA"/>
        </w:rPr>
        <w:t>На дату укладення цього Договору існує форс-мажорна обставина щодо карантину у зв’язку з розповсюдженням COVID-19 на території України, тому зазначена форс-мажорна обставина не звільняє Постачальника від відповідальності за невиконання або неналежне виконання зобов’язань за цим Договором.</w:t>
      </w:r>
    </w:p>
    <w:p w14:paraId="46268C55" w14:textId="77777777" w:rsidR="00D03C20" w:rsidRPr="00D03C20" w:rsidRDefault="00D03C20" w:rsidP="00D03C20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uk-UA"/>
        </w:rPr>
      </w:pPr>
      <w:r w:rsidRPr="00D03C20">
        <w:rPr>
          <w:rFonts w:eastAsia="Times New Roman"/>
          <w:b/>
          <w:sz w:val="20"/>
          <w:szCs w:val="20"/>
          <w:lang w:eastAsia="uk-UA"/>
        </w:rPr>
        <w:t>11.4.</w:t>
      </w:r>
      <w:r w:rsidRPr="00D03C20">
        <w:rPr>
          <w:rFonts w:eastAsia="Times New Roman"/>
          <w:sz w:val="20"/>
          <w:szCs w:val="20"/>
          <w:lang w:eastAsia="uk-UA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Pr="00D03C20">
        <w:rPr>
          <w:rFonts w:eastAsia="Times New Roman"/>
          <w:sz w:val="20"/>
          <w:szCs w:val="20"/>
          <w:u w:val="single"/>
          <w:lang w:eastAsia="uk-UA"/>
        </w:rPr>
        <w:t>2</w:t>
      </w:r>
      <w:r w:rsidRPr="00D03C20">
        <w:rPr>
          <w:rFonts w:eastAsia="Times New Roman"/>
          <w:sz w:val="20"/>
          <w:szCs w:val="20"/>
          <w:lang w:eastAsia="uk-UA"/>
        </w:rPr>
        <w:t xml:space="preserve"> днів з моменту їх виникнення повідомити про це іншу Сторону у письмовій формі. </w:t>
      </w:r>
    </w:p>
    <w:p w14:paraId="4FE2823A" w14:textId="77777777" w:rsidR="00D03C20" w:rsidRPr="00D03C20" w:rsidRDefault="00D03C20" w:rsidP="00D03C20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uk-UA"/>
        </w:rPr>
      </w:pPr>
      <w:r w:rsidRPr="00D03C20">
        <w:rPr>
          <w:rFonts w:eastAsia="Times New Roman"/>
          <w:b/>
          <w:sz w:val="20"/>
          <w:szCs w:val="20"/>
          <w:lang w:eastAsia="uk-UA"/>
        </w:rPr>
        <w:t>11.5.</w:t>
      </w:r>
      <w:r w:rsidRPr="00D03C20">
        <w:rPr>
          <w:rFonts w:eastAsia="Times New Roman"/>
          <w:sz w:val="20"/>
          <w:szCs w:val="20"/>
          <w:lang w:eastAsia="uk-UA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України, іншим уповноваженим органом.</w:t>
      </w:r>
    </w:p>
    <w:p w14:paraId="3FAAD3BF" w14:textId="77777777" w:rsidR="00D03C20" w:rsidRPr="00D03C20" w:rsidRDefault="00D03C20" w:rsidP="00D03C20">
      <w:pPr>
        <w:shd w:val="clear" w:color="auto" w:fill="FFFFFF"/>
        <w:suppressAutoHyphens/>
        <w:spacing w:after="0" w:line="240" w:lineRule="auto"/>
        <w:ind w:firstLine="5"/>
        <w:jc w:val="both"/>
        <w:rPr>
          <w:rFonts w:eastAsia="Times New Roman"/>
          <w:sz w:val="20"/>
          <w:szCs w:val="20"/>
          <w:lang w:eastAsia="uk-UA"/>
        </w:rPr>
      </w:pPr>
      <w:r w:rsidRPr="00D03C20">
        <w:rPr>
          <w:rFonts w:eastAsia="Times New Roman"/>
          <w:b/>
          <w:sz w:val="20"/>
          <w:szCs w:val="20"/>
          <w:lang w:eastAsia="uk-UA"/>
        </w:rPr>
        <w:t>11.6.</w:t>
      </w:r>
      <w:r w:rsidRPr="00D03C20">
        <w:rPr>
          <w:rFonts w:eastAsia="Times New Roman"/>
          <w:sz w:val="20"/>
          <w:szCs w:val="20"/>
          <w:lang w:eastAsia="uk-UA"/>
        </w:rPr>
        <w:t xml:space="preserve"> У разі коли строк дії обставин непереборної сили продовжується більше ніж 30 днів, кожна із Сторін в установленому цим Договором порядку має право розірвати цей Договір.</w:t>
      </w:r>
    </w:p>
    <w:p w14:paraId="233500D1" w14:textId="57C9D0A0" w:rsidR="00831ED2" w:rsidRDefault="00831ED2" w:rsidP="00A0169F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</w:p>
    <w:p w14:paraId="467D0D67" w14:textId="007BA9FD" w:rsidR="00DD7172" w:rsidRPr="00A0169F" w:rsidRDefault="00DD7172" w:rsidP="00A0169F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Нова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5DA6109E" w14:textId="77777777" w:rsidR="00D03C20" w:rsidRPr="00D03C20" w:rsidRDefault="00D03C20" w:rsidP="00D03C20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uk-UA"/>
        </w:rPr>
      </w:pPr>
      <w:bookmarkStart w:id="3" w:name="_heading=h.gjdgxs" w:colFirst="0" w:colLast="0"/>
      <w:bookmarkEnd w:id="3"/>
      <w:r w:rsidRPr="00D03C20">
        <w:rPr>
          <w:rFonts w:eastAsia="Times New Roman"/>
          <w:b/>
          <w:sz w:val="20"/>
          <w:szCs w:val="20"/>
          <w:lang w:eastAsia="zh-CN"/>
        </w:rPr>
        <w:lastRenderedPageBreak/>
        <w:t>11.1</w:t>
      </w:r>
      <w:r w:rsidRPr="00D03C20">
        <w:rPr>
          <w:rFonts w:eastAsia="Times New Roman"/>
          <w:sz w:val="20"/>
          <w:szCs w:val="20"/>
          <w:lang w:eastAsia="zh-CN"/>
        </w:rPr>
        <w:t xml:space="preserve">. </w:t>
      </w:r>
      <w:r w:rsidRPr="00D03C20">
        <w:rPr>
          <w:rFonts w:eastAsia="Times New Roman"/>
          <w:sz w:val="20"/>
          <w:szCs w:val="20"/>
          <w:lang w:eastAsia="uk-UA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(катастрофа, стихійне лихо, епідемія, епізоотія тощо). </w:t>
      </w:r>
    </w:p>
    <w:p w14:paraId="46D868EC" w14:textId="77777777" w:rsidR="00D03C20" w:rsidRPr="00D03C20" w:rsidRDefault="00D03C20" w:rsidP="00D03C20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uk-UA"/>
        </w:rPr>
      </w:pPr>
      <w:r w:rsidRPr="00D03C20">
        <w:rPr>
          <w:rFonts w:eastAsia="Times New Roman"/>
          <w:b/>
          <w:sz w:val="20"/>
          <w:szCs w:val="20"/>
          <w:lang w:eastAsia="uk-UA"/>
        </w:rPr>
        <w:t>11.2.</w:t>
      </w:r>
      <w:r w:rsidRPr="00D03C20">
        <w:rPr>
          <w:rFonts w:eastAsia="Times New Roman"/>
          <w:sz w:val="20"/>
          <w:szCs w:val="20"/>
          <w:lang w:eastAsia="uk-UA"/>
        </w:rPr>
        <w:t xml:space="preserve"> Воєнний стан, оголошений Указом Президента України від 24.02.2022 № 64 «Про введення воєнного стану в Україні» зі змінами, внесеними згідно з Указом Президента України від 26 липня 2023 року №451/2023 «Про продовження строку дії воєнного стану в Україні», затвердженого Законом України №3275-IX від 27.07.2023 та подальшими змінами, у разі їх внесення, не вважається обставиною непереборної сили для цілей виконання даного Договору.</w:t>
      </w:r>
    </w:p>
    <w:p w14:paraId="1E85B2F8" w14:textId="37A49535" w:rsidR="00D03C20" w:rsidRPr="00D03C20" w:rsidRDefault="00D03C20" w:rsidP="00D03C20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uk-UA"/>
        </w:rPr>
      </w:pPr>
      <w:r w:rsidRPr="00D03C20">
        <w:rPr>
          <w:rFonts w:eastAsia="Times New Roman"/>
          <w:b/>
          <w:sz w:val="20"/>
          <w:szCs w:val="20"/>
          <w:lang w:eastAsia="uk-UA"/>
        </w:rPr>
        <w:t>11.</w:t>
      </w:r>
      <w:r>
        <w:rPr>
          <w:rFonts w:eastAsia="Times New Roman"/>
          <w:b/>
          <w:sz w:val="20"/>
          <w:szCs w:val="20"/>
          <w:lang w:eastAsia="uk-UA"/>
        </w:rPr>
        <w:t>3</w:t>
      </w:r>
      <w:r w:rsidRPr="00D03C20">
        <w:rPr>
          <w:rFonts w:eastAsia="Times New Roman"/>
          <w:b/>
          <w:sz w:val="20"/>
          <w:szCs w:val="20"/>
          <w:lang w:eastAsia="uk-UA"/>
        </w:rPr>
        <w:t>.</w:t>
      </w:r>
      <w:r w:rsidRPr="00D03C20">
        <w:rPr>
          <w:rFonts w:eastAsia="Times New Roman"/>
          <w:sz w:val="20"/>
          <w:szCs w:val="20"/>
          <w:lang w:eastAsia="uk-UA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Pr="00D03C20">
        <w:rPr>
          <w:rFonts w:eastAsia="Times New Roman"/>
          <w:sz w:val="20"/>
          <w:szCs w:val="20"/>
          <w:u w:val="single"/>
          <w:lang w:eastAsia="uk-UA"/>
        </w:rPr>
        <w:t>2</w:t>
      </w:r>
      <w:r w:rsidRPr="00D03C20">
        <w:rPr>
          <w:rFonts w:eastAsia="Times New Roman"/>
          <w:sz w:val="20"/>
          <w:szCs w:val="20"/>
          <w:lang w:eastAsia="uk-UA"/>
        </w:rPr>
        <w:t xml:space="preserve"> днів з моменту їх виникнення повідомити про це іншу Сторону у письмовій формі. </w:t>
      </w:r>
    </w:p>
    <w:p w14:paraId="0A2F87B9" w14:textId="63BDF49D" w:rsidR="00D03C20" w:rsidRPr="00D03C20" w:rsidRDefault="00D03C20" w:rsidP="00D03C20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uk-UA"/>
        </w:rPr>
      </w:pPr>
      <w:r w:rsidRPr="00D03C20">
        <w:rPr>
          <w:rFonts w:eastAsia="Times New Roman"/>
          <w:b/>
          <w:sz w:val="20"/>
          <w:szCs w:val="20"/>
          <w:lang w:eastAsia="uk-UA"/>
        </w:rPr>
        <w:t>11.</w:t>
      </w:r>
      <w:r>
        <w:rPr>
          <w:rFonts w:eastAsia="Times New Roman"/>
          <w:b/>
          <w:sz w:val="20"/>
          <w:szCs w:val="20"/>
          <w:lang w:eastAsia="uk-UA"/>
        </w:rPr>
        <w:t>4</w:t>
      </w:r>
      <w:r w:rsidRPr="00D03C20">
        <w:rPr>
          <w:rFonts w:eastAsia="Times New Roman"/>
          <w:b/>
          <w:sz w:val="20"/>
          <w:szCs w:val="20"/>
          <w:lang w:eastAsia="uk-UA"/>
        </w:rPr>
        <w:t>.</w:t>
      </w:r>
      <w:r w:rsidRPr="00D03C20">
        <w:rPr>
          <w:rFonts w:eastAsia="Times New Roman"/>
          <w:sz w:val="20"/>
          <w:szCs w:val="20"/>
          <w:lang w:eastAsia="uk-UA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України, іншим уповноваженим органом.</w:t>
      </w:r>
    </w:p>
    <w:p w14:paraId="5C767D73" w14:textId="7B8E21C3" w:rsidR="00D03C20" w:rsidRPr="00D03C20" w:rsidRDefault="00D03C20" w:rsidP="00D03C20">
      <w:pPr>
        <w:shd w:val="clear" w:color="auto" w:fill="FFFFFF"/>
        <w:suppressAutoHyphens/>
        <w:spacing w:after="0" w:line="240" w:lineRule="auto"/>
        <w:ind w:firstLine="5"/>
        <w:jc w:val="both"/>
        <w:rPr>
          <w:rFonts w:eastAsia="Times New Roman"/>
          <w:sz w:val="20"/>
          <w:szCs w:val="20"/>
          <w:lang w:eastAsia="uk-UA"/>
        </w:rPr>
      </w:pPr>
      <w:r w:rsidRPr="00D03C20">
        <w:rPr>
          <w:rFonts w:eastAsia="Times New Roman"/>
          <w:b/>
          <w:sz w:val="20"/>
          <w:szCs w:val="20"/>
          <w:lang w:eastAsia="uk-UA"/>
        </w:rPr>
        <w:t>11.</w:t>
      </w:r>
      <w:r>
        <w:rPr>
          <w:rFonts w:eastAsia="Times New Roman"/>
          <w:b/>
          <w:sz w:val="20"/>
          <w:szCs w:val="20"/>
          <w:lang w:eastAsia="uk-UA"/>
        </w:rPr>
        <w:t>5</w:t>
      </w:r>
      <w:r w:rsidRPr="00D03C20">
        <w:rPr>
          <w:rFonts w:eastAsia="Times New Roman"/>
          <w:b/>
          <w:sz w:val="20"/>
          <w:szCs w:val="20"/>
          <w:lang w:eastAsia="uk-UA"/>
        </w:rPr>
        <w:t>.</w:t>
      </w:r>
      <w:r w:rsidRPr="00D03C20">
        <w:rPr>
          <w:rFonts w:eastAsia="Times New Roman"/>
          <w:sz w:val="20"/>
          <w:szCs w:val="20"/>
          <w:lang w:eastAsia="uk-UA"/>
        </w:rPr>
        <w:t xml:space="preserve"> У разі коли строк дії обставин непереборної сили продовжується більше ніж 30 днів, кожна із Сторін в установленому цим Договором порядку має право розірвати цей Договір.</w:t>
      </w:r>
    </w:p>
    <w:p w14:paraId="48B79C4A" w14:textId="77777777" w:rsidR="00D03C20" w:rsidRDefault="00D03C20" w:rsidP="00D03C20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</w:p>
    <w:p w14:paraId="6A8B663A" w14:textId="2913688D" w:rsidR="004A17AE" w:rsidRPr="004A17AE" w:rsidRDefault="004A17AE" w:rsidP="004A17A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14:paraId="00DDAB32" w14:textId="77777777" w:rsidR="00A0169F" w:rsidRPr="00A0169F" w:rsidRDefault="00A0169F" w:rsidP="00A0169F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1A0F3F" w:rsidRPr="00A0169F" w14:paraId="50168A50" w14:textId="77777777" w:rsidTr="004A17AE">
        <w:trPr>
          <w:trHeight w:val="354"/>
        </w:trPr>
        <w:tc>
          <w:tcPr>
            <w:tcW w:w="3664" w:type="dxa"/>
          </w:tcPr>
          <w:p w14:paraId="52FD54C3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  <w:p w14:paraId="5BA98E23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color w:val="000000"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>Уповноважена особа</w:t>
            </w:r>
          </w:p>
          <w:p w14:paraId="12BEBD18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A68F62B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7B8AF27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________________</w:t>
            </w:r>
          </w:p>
          <w:p w14:paraId="33245BB6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14DF2837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 xml:space="preserve"> Ірина </w:t>
            </w:r>
            <w:proofErr w:type="spellStart"/>
            <w:r w:rsidRPr="00A0169F">
              <w:rPr>
                <w:rFonts w:eastAsia="Times New Roman"/>
                <w:b/>
                <w:sz w:val="20"/>
                <w:szCs w:val="20"/>
              </w:rPr>
              <w:t>Скачкова</w:t>
            </w:r>
            <w:proofErr w:type="spellEnd"/>
          </w:p>
        </w:tc>
      </w:tr>
    </w:tbl>
    <w:p w14:paraId="0BC51215" w14:textId="77777777" w:rsidR="001A0F3F" w:rsidRPr="00A0169F" w:rsidRDefault="001A0F3F" w:rsidP="00A0169F">
      <w:pPr>
        <w:widowControl w:val="0"/>
        <w:suppressAutoHyphens/>
        <w:spacing w:after="0" w:line="240" w:lineRule="auto"/>
        <w:rPr>
          <w:rFonts w:eastAsia="Times New Roman"/>
          <w:bCs/>
          <w:sz w:val="20"/>
          <w:szCs w:val="20"/>
          <w:lang w:val="ru-RU"/>
        </w:rPr>
      </w:pPr>
    </w:p>
    <w:sectPr w:rsidR="001A0F3F" w:rsidRPr="00A0169F" w:rsidSect="00A0169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225A"/>
    <w:multiLevelType w:val="hybridMultilevel"/>
    <w:tmpl w:val="30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54B1"/>
    <w:multiLevelType w:val="hybridMultilevel"/>
    <w:tmpl w:val="30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777C"/>
    <w:multiLevelType w:val="hybridMultilevel"/>
    <w:tmpl w:val="0A28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D073A"/>
    <w:multiLevelType w:val="multilevel"/>
    <w:tmpl w:val="90FA3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2312115"/>
    <w:multiLevelType w:val="hybridMultilevel"/>
    <w:tmpl w:val="1B2A9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87C78"/>
    <w:multiLevelType w:val="hybridMultilevel"/>
    <w:tmpl w:val="4F365E4C"/>
    <w:lvl w:ilvl="0" w:tplc="1916A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A4"/>
    <w:rsid w:val="000014D0"/>
    <w:rsid w:val="000164C6"/>
    <w:rsid w:val="0002671D"/>
    <w:rsid w:val="0005313C"/>
    <w:rsid w:val="00092A4B"/>
    <w:rsid w:val="00093CC0"/>
    <w:rsid w:val="000A078B"/>
    <w:rsid w:val="000B2085"/>
    <w:rsid w:val="000C4989"/>
    <w:rsid w:val="000F585A"/>
    <w:rsid w:val="000F622B"/>
    <w:rsid w:val="00114A23"/>
    <w:rsid w:val="00117066"/>
    <w:rsid w:val="0012371E"/>
    <w:rsid w:val="00131B94"/>
    <w:rsid w:val="00134EB7"/>
    <w:rsid w:val="001546B4"/>
    <w:rsid w:val="00154C3B"/>
    <w:rsid w:val="00197528"/>
    <w:rsid w:val="001A0F3F"/>
    <w:rsid w:val="001A7554"/>
    <w:rsid w:val="001C51FD"/>
    <w:rsid w:val="001D6D3A"/>
    <w:rsid w:val="001F153F"/>
    <w:rsid w:val="001F6903"/>
    <w:rsid w:val="001F7B20"/>
    <w:rsid w:val="0020193D"/>
    <w:rsid w:val="00202C22"/>
    <w:rsid w:val="00217DEE"/>
    <w:rsid w:val="002261DB"/>
    <w:rsid w:val="002365CC"/>
    <w:rsid w:val="00250F17"/>
    <w:rsid w:val="00253766"/>
    <w:rsid w:val="00272D2B"/>
    <w:rsid w:val="00273F1D"/>
    <w:rsid w:val="002C0B74"/>
    <w:rsid w:val="002D1C84"/>
    <w:rsid w:val="002D5212"/>
    <w:rsid w:val="002E7F36"/>
    <w:rsid w:val="00310FC5"/>
    <w:rsid w:val="003349F5"/>
    <w:rsid w:val="00365140"/>
    <w:rsid w:val="003B2122"/>
    <w:rsid w:val="003B7649"/>
    <w:rsid w:val="003C49D2"/>
    <w:rsid w:val="003D0137"/>
    <w:rsid w:val="003F050C"/>
    <w:rsid w:val="00400B2F"/>
    <w:rsid w:val="00405BDB"/>
    <w:rsid w:val="00457631"/>
    <w:rsid w:val="00465DCD"/>
    <w:rsid w:val="00466F31"/>
    <w:rsid w:val="00473645"/>
    <w:rsid w:val="00476AB6"/>
    <w:rsid w:val="00481879"/>
    <w:rsid w:val="004A17AE"/>
    <w:rsid w:val="004C2925"/>
    <w:rsid w:val="004D043D"/>
    <w:rsid w:val="004F6980"/>
    <w:rsid w:val="005035E3"/>
    <w:rsid w:val="00506BDC"/>
    <w:rsid w:val="00515ABF"/>
    <w:rsid w:val="005261E5"/>
    <w:rsid w:val="00551A69"/>
    <w:rsid w:val="005648D4"/>
    <w:rsid w:val="00583C0F"/>
    <w:rsid w:val="00583DE3"/>
    <w:rsid w:val="00592700"/>
    <w:rsid w:val="005A0319"/>
    <w:rsid w:val="005F16A4"/>
    <w:rsid w:val="005F7E3A"/>
    <w:rsid w:val="00600B25"/>
    <w:rsid w:val="00612A28"/>
    <w:rsid w:val="00640DA5"/>
    <w:rsid w:val="006447CA"/>
    <w:rsid w:val="00645F53"/>
    <w:rsid w:val="00651E7A"/>
    <w:rsid w:val="0067147B"/>
    <w:rsid w:val="00673C5C"/>
    <w:rsid w:val="006878F7"/>
    <w:rsid w:val="006A6BE9"/>
    <w:rsid w:val="006B5968"/>
    <w:rsid w:val="006B5CDE"/>
    <w:rsid w:val="006C58F0"/>
    <w:rsid w:val="006D0136"/>
    <w:rsid w:val="006D4BA1"/>
    <w:rsid w:val="006D6F2F"/>
    <w:rsid w:val="006E0E59"/>
    <w:rsid w:val="00711512"/>
    <w:rsid w:val="007139FE"/>
    <w:rsid w:val="00721F91"/>
    <w:rsid w:val="00731DC0"/>
    <w:rsid w:val="0074508E"/>
    <w:rsid w:val="00751411"/>
    <w:rsid w:val="00751419"/>
    <w:rsid w:val="0075593B"/>
    <w:rsid w:val="00766A51"/>
    <w:rsid w:val="00792D16"/>
    <w:rsid w:val="007A2118"/>
    <w:rsid w:val="007A5384"/>
    <w:rsid w:val="007B0FE5"/>
    <w:rsid w:val="007F1D02"/>
    <w:rsid w:val="00821A36"/>
    <w:rsid w:val="00831ED2"/>
    <w:rsid w:val="00833E4F"/>
    <w:rsid w:val="00833EE0"/>
    <w:rsid w:val="00857338"/>
    <w:rsid w:val="00865ED5"/>
    <w:rsid w:val="00872A24"/>
    <w:rsid w:val="008A25C9"/>
    <w:rsid w:val="008A3D53"/>
    <w:rsid w:val="008B4459"/>
    <w:rsid w:val="008B4FB6"/>
    <w:rsid w:val="008B5733"/>
    <w:rsid w:val="00902950"/>
    <w:rsid w:val="009048A4"/>
    <w:rsid w:val="00917C87"/>
    <w:rsid w:val="00933A9E"/>
    <w:rsid w:val="00935B76"/>
    <w:rsid w:val="00954CA0"/>
    <w:rsid w:val="00955A29"/>
    <w:rsid w:val="009602EB"/>
    <w:rsid w:val="009671C2"/>
    <w:rsid w:val="009B687C"/>
    <w:rsid w:val="009D1BF1"/>
    <w:rsid w:val="009F32B4"/>
    <w:rsid w:val="00A0169F"/>
    <w:rsid w:val="00A04902"/>
    <w:rsid w:val="00A07DCB"/>
    <w:rsid w:val="00A221B2"/>
    <w:rsid w:val="00A34E33"/>
    <w:rsid w:val="00A51690"/>
    <w:rsid w:val="00A51CE9"/>
    <w:rsid w:val="00A80141"/>
    <w:rsid w:val="00AB2576"/>
    <w:rsid w:val="00AF7AA2"/>
    <w:rsid w:val="00B00A71"/>
    <w:rsid w:val="00B118E4"/>
    <w:rsid w:val="00B46126"/>
    <w:rsid w:val="00B73F72"/>
    <w:rsid w:val="00B834DD"/>
    <w:rsid w:val="00BA0C9B"/>
    <w:rsid w:val="00BB70F0"/>
    <w:rsid w:val="00BC527F"/>
    <w:rsid w:val="00BC7F12"/>
    <w:rsid w:val="00BD57BB"/>
    <w:rsid w:val="00BE2DB7"/>
    <w:rsid w:val="00BF0183"/>
    <w:rsid w:val="00C1102E"/>
    <w:rsid w:val="00C2731A"/>
    <w:rsid w:val="00C31E07"/>
    <w:rsid w:val="00C343C3"/>
    <w:rsid w:val="00C35E9B"/>
    <w:rsid w:val="00C36446"/>
    <w:rsid w:val="00C36830"/>
    <w:rsid w:val="00C37C91"/>
    <w:rsid w:val="00C53FC0"/>
    <w:rsid w:val="00C71703"/>
    <w:rsid w:val="00C72806"/>
    <w:rsid w:val="00C77678"/>
    <w:rsid w:val="00C9357A"/>
    <w:rsid w:val="00C94B10"/>
    <w:rsid w:val="00CB38D7"/>
    <w:rsid w:val="00CC2E0A"/>
    <w:rsid w:val="00CD6474"/>
    <w:rsid w:val="00D03C20"/>
    <w:rsid w:val="00D226D1"/>
    <w:rsid w:val="00D3643B"/>
    <w:rsid w:val="00D7046A"/>
    <w:rsid w:val="00D7364A"/>
    <w:rsid w:val="00D96568"/>
    <w:rsid w:val="00DA0BFD"/>
    <w:rsid w:val="00DD7172"/>
    <w:rsid w:val="00DE3D13"/>
    <w:rsid w:val="00E012A6"/>
    <w:rsid w:val="00E62987"/>
    <w:rsid w:val="00E66BDC"/>
    <w:rsid w:val="00E8297A"/>
    <w:rsid w:val="00E973D7"/>
    <w:rsid w:val="00EB6904"/>
    <w:rsid w:val="00EE6549"/>
    <w:rsid w:val="00EF4405"/>
    <w:rsid w:val="00EF7BEB"/>
    <w:rsid w:val="00F12033"/>
    <w:rsid w:val="00F25D9D"/>
    <w:rsid w:val="00F5531F"/>
    <w:rsid w:val="00F574C2"/>
    <w:rsid w:val="00F65A97"/>
    <w:rsid w:val="00F931CE"/>
    <w:rsid w:val="00FB1ED8"/>
    <w:rsid w:val="00FB57E1"/>
    <w:rsid w:val="00FC67B2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8081"/>
  <w15:docId w15:val="{BFFD59DA-45AF-4159-A920-B502C84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20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1"/>
    <w:rsid w:val="00C9357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Без інтервалів Знак"/>
    <w:link w:val="a4"/>
    <w:locked/>
    <w:rsid w:val="00C9357A"/>
    <w:rPr>
      <w:rFonts w:ascii="Calibri" w:hAnsi="Calibri" w:cs="Calibri"/>
      <w:lang w:val="uk-UA" w:eastAsia="uk-UA"/>
    </w:rPr>
  </w:style>
  <w:style w:type="paragraph" w:styleId="a4">
    <w:name w:val="No Spacing"/>
    <w:link w:val="a3"/>
    <w:uiPriority w:val="99"/>
    <w:qFormat/>
    <w:rsid w:val="00C9357A"/>
    <w:pPr>
      <w:spacing w:after="0" w:line="240" w:lineRule="auto"/>
    </w:pPr>
    <w:rPr>
      <w:rFonts w:ascii="Calibri" w:hAnsi="Calibri" w:cs="Calibri"/>
      <w:lang w:val="uk-UA" w:eastAsia="uk-UA"/>
    </w:rPr>
  </w:style>
  <w:style w:type="paragraph" w:styleId="a5">
    <w:name w:val="Normal (Web)"/>
    <w:basedOn w:val="a"/>
    <w:uiPriority w:val="99"/>
    <w:unhideWhenUsed/>
    <w:rsid w:val="00C935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aliases w:val="CA bullets,EBRD List,Chapter10,Список уровня 2,название табл/рис,Number Bullets,List Paragraph (numbered (a)),List Paragraph_Num123"/>
    <w:basedOn w:val="a"/>
    <w:link w:val="a7"/>
    <w:uiPriority w:val="34"/>
    <w:qFormat/>
    <w:rsid w:val="00C9357A"/>
    <w:pPr>
      <w:spacing w:after="160" w:line="259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a8">
    <w:name w:val="Знак Знак Знак"/>
    <w:link w:val="5"/>
    <w:rsid w:val="00C9357A"/>
    <w:rPr>
      <w:rFonts w:ascii="Verdana" w:hAnsi="Verdana" w:cs="Verdana"/>
      <w:lang w:val="en-US"/>
    </w:rPr>
  </w:style>
  <w:style w:type="paragraph" w:customStyle="1" w:styleId="5">
    <w:name w:val="Знак Знак5"/>
    <w:basedOn w:val="a"/>
    <w:link w:val="a8"/>
    <w:rsid w:val="00C9357A"/>
    <w:pPr>
      <w:spacing w:after="0" w:line="240" w:lineRule="auto"/>
    </w:pPr>
    <w:rPr>
      <w:rFonts w:ascii="Verdana" w:eastAsiaTheme="minorHAnsi" w:hAnsi="Verdana" w:cs="Verdana"/>
      <w:sz w:val="22"/>
      <w:lang w:val="en-US"/>
    </w:rPr>
  </w:style>
  <w:style w:type="character" w:customStyle="1" w:styleId="a7">
    <w:name w:val="Абзац списку Знак"/>
    <w:aliases w:val="CA bullets Знак,EBRD List Знак,Chapter10 Знак,Список уровня 2 Знак,название табл/рис Знак,Number Bullets Знак,List Paragraph (numbered (a)) Знак,List Paragraph_Num123 Знак"/>
    <w:link w:val="a6"/>
    <w:uiPriority w:val="34"/>
    <w:rsid w:val="005F7E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FDA2-03FB-4D69-863A-6F318AB2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6874</Words>
  <Characters>3919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Owner</cp:lastModifiedBy>
  <cp:revision>11</cp:revision>
  <dcterms:created xsi:type="dcterms:W3CDTF">2022-11-18T09:14:00Z</dcterms:created>
  <dcterms:modified xsi:type="dcterms:W3CDTF">2023-11-09T14:31:00Z</dcterms:modified>
</cp:coreProperties>
</file>