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1F" w:rsidRDefault="0013641F" w:rsidP="001364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</w:t>
      </w:r>
      <w:r w:rsidRPr="00144B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Додаток 1</w:t>
      </w:r>
    </w:p>
    <w:p w:rsidR="0013641F" w:rsidRPr="00144BF7" w:rsidRDefault="0013641F" w:rsidP="001364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13641F" w:rsidRPr="00144BF7" w:rsidRDefault="0013641F" w:rsidP="00136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13641F" w:rsidRPr="002464B2" w:rsidRDefault="0013641F" w:rsidP="00136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970E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Перелік документів та інформації  для підтвердження відповідності УЧАСНИКА  кваліфікаційним критеріям, </w:t>
      </w:r>
      <w:r w:rsidRPr="00246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визначеним у статті 16 Закону</w:t>
      </w:r>
      <w:r w:rsidRPr="002464B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у відповідності до Особливостей</w:t>
      </w:r>
      <w:r w:rsidRPr="00246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:</w:t>
      </w:r>
    </w:p>
    <w:tbl>
      <w:tblPr>
        <w:tblW w:w="9561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4"/>
        <w:gridCol w:w="3669"/>
        <w:gridCol w:w="5348"/>
      </w:tblGrid>
      <w:tr w:rsidR="0013641F" w:rsidRPr="00144BF7" w:rsidTr="000A7712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1F" w:rsidRPr="00144BF7" w:rsidRDefault="0013641F" w:rsidP="000A771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1F" w:rsidRPr="00144BF7" w:rsidRDefault="0013641F" w:rsidP="000A771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1F" w:rsidRPr="00144BF7" w:rsidRDefault="0013641F" w:rsidP="000A771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13641F" w:rsidRPr="00E93BCA" w:rsidTr="000A7712">
        <w:trPr>
          <w:trHeight w:val="589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0A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0A7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E93BCA" w:rsidRDefault="0013641F" w:rsidP="000A7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5189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3.1. </w:t>
            </w:r>
            <w:r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Довідка в довільній формі, з інформацією про виконання  аналогічних за предметом закупівлі договорів  (не менше двох договорів).</w:t>
            </w:r>
          </w:p>
          <w:p w:rsidR="0013641F" w:rsidRPr="00E93BCA" w:rsidRDefault="0013641F" w:rsidP="000A7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Аналогічним вважається договір, предмет якого відповідає коду </w:t>
            </w:r>
            <w:r w:rsidRPr="00113F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ДК 021:2015 - 03220000-9 «Овочі, фрукти та горіхи».</w:t>
            </w:r>
          </w:p>
          <w:p w:rsidR="0013641F" w:rsidRPr="00E93BCA" w:rsidRDefault="0013641F" w:rsidP="000A7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3.2. На підтвердження досвіду виконання аналогічних за предметом закупівлі договорів Учасник має надати:</w:t>
            </w:r>
          </w:p>
          <w:p w:rsidR="0013641F" w:rsidRPr="00E93BCA" w:rsidRDefault="0013641F" w:rsidP="000A7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   не менше 2-х копій договору, зазначеного у довідці у повному обсязі (з усіма укладеними додатковими угодами, додатками та специфікаціями до договору), </w:t>
            </w:r>
          </w:p>
          <w:p w:rsidR="0013641F" w:rsidRPr="0085189D" w:rsidRDefault="0013641F" w:rsidP="000A7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 лист-відгук про якісне постачання товару до кожного договору, що зазначений в довідці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</w:tr>
    </w:tbl>
    <w:p w:rsidR="0013641F" w:rsidRPr="00970E01" w:rsidRDefault="0013641F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970E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13641F" w:rsidRDefault="0013641F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33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2. Перелік документів та інформації  для підтвердження відповідності УЧАСНИКА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та ПЕРЕМОЖЦЯ</w:t>
      </w:r>
      <w:r w:rsidR="000A7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вимогам, визначеним </w:t>
      </w:r>
      <w:r w:rsidRPr="00752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у відповідності до </w:t>
      </w:r>
      <w:r w:rsidR="000A7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п.47 </w:t>
      </w:r>
      <w:r w:rsidRPr="00752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Особливостей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2678"/>
        <w:gridCol w:w="2253"/>
        <w:gridCol w:w="4079"/>
      </w:tblGrid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7712" w:rsidRPr="00C651C0" w:rsidRDefault="000A7712" w:rsidP="000A771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№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7712" w:rsidRPr="00C651C0" w:rsidRDefault="000A7712" w:rsidP="000A771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ідстави для відмови в участі у процедурі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712" w:rsidRPr="00C651C0" w:rsidRDefault="000A7712" w:rsidP="000A771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7712" w:rsidRPr="00C651C0" w:rsidRDefault="000A7712" w:rsidP="000A771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Переможець у строк, що не перевищує чотири дні з дати оприлюднення в електронній системі закупівель повідомлення про намі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замовник має незаперечні докази того, що 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пропонує, дає або погоджується дати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 xml:space="preserve">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ідпункт 1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0A7712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Замовник самостійно за результатами розгляду тендерної пропозиції учасника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підтверджує в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електронній системі закупівель відсутність в учасника процедури закупівлі такої підстав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Переможець не надає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відомості про юридичну особу, яка є учасником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і, внесено до Єдиного державного реєстру осіб, які вчинили корупційні або пов’язані з корупцією правопорушення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2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E28" w:rsidRDefault="000C6E28" w:rsidP="000C6E28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</w:t>
            </w:r>
            <w:r w:rsidRPr="00113F5B">
              <w:rPr>
                <w:color w:val="000000"/>
              </w:rPr>
              <w:t xml:space="preserve">обмеженим, тому відповідно до пункту 47 Особливостей, </w:t>
            </w:r>
            <w:r w:rsidRPr="00113F5B">
              <w:rPr>
                <w:b/>
                <w:bCs/>
                <w:i/>
                <w:color w:val="000000"/>
                <w:lang w:eastAsia="ru-RU"/>
              </w:rPr>
              <w:t xml:space="preserve">враховуючи технічну неможливість перевірити інформацію замовником за посиланням </w:t>
            </w:r>
            <w:hyperlink r:id="rId6" w:history="1">
              <w:r w:rsidRPr="00113F5B">
                <w:rPr>
                  <w:rStyle w:val="a3"/>
                  <w:b/>
                  <w:bCs/>
                  <w:lang w:eastAsia="ru-RU"/>
                </w:rPr>
                <w:t>https://corruptinfo.nazk.gov.ua/</w:t>
              </w:r>
            </w:hyperlink>
            <w:r w:rsidRPr="00113F5B">
              <w:rPr>
                <w:rStyle w:val="a3"/>
                <w:b/>
                <w:bCs/>
                <w:lang w:eastAsia="ru-RU"/>
              </w:rPr>
              <w:t xml:space="preserve">, </w:t>
            </w:r>
            <w:r w:rsidRPr="00113F5B">
              <w:rPr>
                <w:rStyle w:val="a3"/>
                <w:b/>
                <w:bCs/>
                <w:i/>
                <w:color w:val="auto"/>
                <w:u w:val="none"/>
                <w:lang w:eastAsia="ru-RU"/>
              </w:rPr>
              <w:t>переможець надає</w:t>
            </w:r>
            <w:r>
              <w:rPr>
                <w:rStyle w:val="a3"/>
                <w:b/>
                <w:bCs/>
                <w:i/>
                <w:color w:val="auto"/>
                <w:u w:val="none"/>
                <w:lang w:eastAsia="ru-RU"/>
              </w:rPr>
              <w:t xml:space="preserve"> довідку або </w:t>
            </w:r>
            <w:r>
              <w:rPr>
                <w:b/>
                <w:bCs/>
                <w:i/>
                <w:color w:val="000000"/>
                <w:lang w:eastAsia="ru-RU"/>
              </w:rPr>
              <w:t>інформаційну довідку або витяг</w:t>
            </w:r>
            <w:r w:rsidRPr="001448A3">
              <w:rPr>
                <w:b/>
                <w:bCs/>
                <w:i/>
                <w:color w:val="000000"/>
                <w:lang w:eastAsia="ru-RU"/>
              </w:rPr>
              <w:t xml:space="preserve"> з Реєстру</w:t>
            </w:r>
            <w:r w:rsidRPr="000C6E28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(</w:t>
            </w:r>
            <w:r w:rsidRPr="000C6E28">
              <w:rPr>
                <w:b/>
                <w:bCs/>
                <w:i/>
                <w:color w:val="000000"/>
                <w:lang w:val="ru-RU" w:eastAsia="ru-RU"/>
              </w:rPr>
              <w:t>Єдиного державного реєстру осіб, які вчинили корупційні правопорушення</w:t>
            </w:r>
            <w:r>
              <w:rPr>
                <w:b/>
                <w:bCs/>
                <w:i/>
                <w:color w:val="000000"/>
                <w:lang w:val="ru-RU" w:eastAsia="ru-RU"/>
              </w:rPr>
              <w:t>)</w:t>
            </w:r>
            <w:r w:rsidRPr="000C6E28">
              <w:rPr>
                <w:b/>
                <w:bCs/>
                <w:i/>
                <w:color w:val="000000"/>
                <w:lang w:val="ru-RU" w:eastAsia="ru-RU"/>
              </w:rPr>
              <w:t> </w:t>
            </w:r>
            <w:r w:rsidRPr="001448A3">
              <w:rPr>
                <w:b/>
                <w:bCs/>
                <w:i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i/>
                <w:color w:val="000000"/>
                <w:lang w:eastAsia="ru-RU"/>
              </w:rPr>
              <w:t>(Відповідно до л</w:t>
            </w:r>
            <w:r w:rsidRPr="00652F77">
              <w:rPr>
                <w:b/>
                <w:bCs/>
                <w:i/>
                <w:color w:val="000000"/>
                <w:lang w:eastAsia="ru-RU"/>
              </w:rPr>
              <w:t>ист</w:t>
            </w:r>
            <w:r>
              <w:rPr>
                <w:b/>
                <w:bCs/>
                <w:i/>
                <w:color w:val="000000"/>
                <w:lang w:eastAsia="ru-RU"/>
              </w:rPr>
              <w:t>а</w:t>
            </w:r>
            <w:r w:rsidRPr="00652F77">
              <w:rPr>
                <w:b/>
                <w:bCs/>
                <w:i/>
                <w:color w:val="000000"/>
                <w:lang w:eastAsia="ru-RU"/>
              </w:rPr>
              <w:t xml:space="preserve"> Мінекономіки від 23.06.2022 р. № 3323-04/40967-06 “Щодо застосування статті 17 Закону у зв’язку із введенням воєнного стану”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 та л</w:t>
            </w:r>
            <w:r w:rsidRPr="001448A3">
              <w:rPr>
                <w:b/>
                <w:bCs/>
                <w:i/>
                <w:color w:val="000000"/>
                <w:lang w:eastAsia="ru-RU"/>
              </w:rPr>
              <w:t>ист</w:t>
            </w:r>
            <w:r>
              <w:rPr>
                <w:b/>
                <w:bCs/>
                <w:i/>
                <w:color w:val="000000"/>
                <w:lang w:eastAsia="ru-RU"/>
              </w:rPr>
              <w:t>а</w:t>
            </w:r>
            <w:r w:rsidRPr="001448A3">
              <w:rPr>
                <w:b/>
                <w:bCs/>
                <w:i/>
                <w:color w:val="000000"/>
                <w:lang w:eastAsia="ru-RU"/>
              </w:rPr>
              <w:t xml:space="preserve"> НАЗК від 31.05.2022 р. № 23-06/12865-22 “Про розгляд листа та надання роз’яснення”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 </w:t>
            </w:r>
            <w:r>
              <w:rPr>
                <w:color w:val="000000"/>
              </w:rPr>
              <w:t xml:space="preserve">про те, що </w:t>
            </w:r>
            <w:r>
              <w:rPr>
                <w:color w:val="000000"/>
                <w:shd w:val="clear" w:color="auto" w:fill="FFFFFF"/>
              </w:rPr>
              <w:t>відомості про юридичну особу, яка є учасником процедури закупівлі</w:t>
            </w:r>
            <w:r w:rsidRPr="00C651C0">
              <w:rPr>
                <w:color w:val="000000"/>
                <w:shd w:val="clear" w:color="auto" w:fill="FFFFFF"/>
              </w:rPr>
              <w:t>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0C6E28">
              <w:rPr>
                <w:b/>
                <w:color w:val="000000"/>
                <w:shd w:val="clear" w:color="auto" w:fill="FFFFFF"/>
              </w:rPr>
              <w:t>не</w:t>
            </w:r>
            <w:r w:rsidRPr="00C651C0">
              <w:rPr>
                <w:color w:val="000000"/>
                <w:shd w:val="clear" w:color="auto" w:fill="FFFFFF"/>
              </w:rPr>
              <w:t xml:space="preserve"> </w:t>
            </w:r>
            <w:r w:rsidRPr="000C6E28">
              <w:rPr>
                <w:b/>
                <w:color w:val="000000"/>
                <w:shd w:val="clear" w:color="auto" w:fill="FFFFFF"/>
              </w:rPr>
              <w:t>внесено</w:t>
            </w:r>
            <w:r w:rsidRPr="00C651C0">
              <w:rPr>
                <w:color w:val="000000"/>
                <w:shd w:val="clear" w:color="auto" w:fill="FFFFFF"/>
              </w:rPr>
              <w:t xml:space="preserve"> до Єдиного державного </w:t>
            </w:r>
            <w:r w:rsidRPr="00C651C0">
              <w:rPr>
                <w:color w:val="000000"/>
                <w:shd w:val="clear" w:color="auto" w:fill="FFFFFF"/>
              </w:rPr>
              <w:lastRenderedPageBreak/>
              <w:t>реєстру осіб, які вчинили корупційні або пов’язані з корупцією правопорушення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0A7712" w:rsidRPr="000C6E28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керівника учасника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і, фізичну особу, яка є учасником процедури закупівлі, було притягнуто згідно із законом  до відповідальності за вчинення корупційного правопорушення або правопорушення, пов’язаного з корупцією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3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0C6E28" w:rsidRDefault="000C6E28" w:rsidP="000C6E2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C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47 Особливостей, </w:t>
            </w:r>
            <w:r w:rsidRPr="000C6E2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враховуючи </w:t>
            </w:r>
            <w:proofErr w:type="gramStart"/>
            <w:r w:rsidRPr="000C6E2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техн</w:t>
            </w:r>
            <w:proofErr w:type="gramEnd"/>
            <w:r w:rsidRPr="000C6E2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ічну неможливість перевірити інформацію замовником за посиланням </w:t>
            </w:r>
            <w:hyperlink r:id="rId7" w:history="1">
              <w:r w:rsidRPr="000C6E28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uk-UA"/>
                </w:rPr>
                <w:t>https://corruptinfo.nazk.gov.ua/</w:t>
              </w:r>
            </w:hyperlink>
            <w:r w:rsidRPr="000C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  <w:t xml:space="preserve">, </w:t>
            </w:r>
            <w:r w:rsidRPr="000C6E2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переможець надає довідку або інформаційну довідку або витяг з Реєстру</w:t>
            </w:r>
            <w:r w:rsidRPr="000C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r w:rsidRPr="000C6E2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Єдиного державного реєстру осіб, які вчинили корупційні правопорушення)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як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ий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оформлена на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керівника* учасника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 або фізичну особу, яка є учасником процедури закупівлі</w:t>
            </w:r>
            <w:r w:rsidRPr="000C6E2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  (Відповідно до листа Мінекономіки від 23.06.2022 р. № 3323-04/40967-06 “Щодо застосування статті 17 Закону у зв’язку із введенням воєнного стану” та листа НАЗК від 31.05.2022 р. № 23-06/12865-22 “Про розгляд листа та надання роз’яснення” </w:t>
            </w:r>
            <w:r w:rsidRPr="000C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те, що керівника учасника процедури закупі</w:t>
            </w:r>
            <w:proofErr w:type="gramStart"/>
            <w:r w:rsidRPr="000C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0C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і, фізичну особу, яка є учасником процедури закупівлі, </w:t>
            </w:r>
            <w:r w:rsidRPr="000C6E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не </w:t>
            </w:r>
            <w:r w:rsidRPr="000C6E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було</w:t>
            </w:r>
            <w:r w:rsidRPr="000C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притягнуто згідно із законом  до відповідальності за вчинення корупційного правопорушення або правопорушення, пов’язаного з корупцією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суб’єкт господарювання (учасник процедури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антиконкурентних узгоджених дій, що стосуються спотворення результатів тендерів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4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підтверджує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Переможець не надає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фізична особа, яка є учасником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5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113F5B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13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процедури закупі</w:t>
            </w:r>
            <w:proofErr w:type="gramStart"/>
            <w:r w:rsidRPr="00113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113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 до кримінальної відповідальності не притягується, незнятої чи непогашеної судимості не має та в розшуку не перебуває</w:t>
            </w:r>
            <w:r w:rsidR="000C6E28" w:rsidRPr="00113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0C6E28" w:rsidRPr="00113F5B" w:rsidRDefault="000C6E28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13F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Документ </w:t>
            </w:r>
            <w:proofErr w:type="gramStart"/>
            <w:r w:rsidRPr="00113F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повинен</w:t>
            </w:r>
            <w:proofErr w:type="gramEnd"/>
            <w:r w:rsidRPr="00113F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бути не більше тридцятиденної давнини від дати видачі документа.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 учасника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був засуджений за кримінальне правопорушення, вчинене з корисливих мотивів (зокрема, пов’язане з хабарництвом,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 xml:space="preserve">шахрайством та відмиванням коштів), судимість з якого не знято або не погашено в установленому законом порядку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(підпункт 6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підтверджує відсутність підстави шляхом самостійного декларування відсутності такої підстави в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113F5B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керівник* учасника процедури закупівлі до кримінальної відповідальності не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притягується, незнятої чи непогашеної судимості не має та в </w:t>
            </w:r>
            <w:r w:rsidRPr="00113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розшуку не перебуває.</w:t>
            </w:r>
          </w:p>
          <w:p w:rsidR="000C6E28" w:rsidRPr="000C6E28" w:rsidRDefault="000C6E28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13F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Документ </w:t>
            </w:r>
            <w:proofErr w:type="gramStart"/>
            <w:r w:rsidRPr="00113F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повинен</w:t>
            </w:r>
            <w:proofErr w:type="gramEnd"/>
            <w:r w:rsidRPr="00113F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бути не більше тридцятиденної давнини від дати видачі документа.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тендерна пропозиція подана учасником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і, який є пов’язаною особою з іншими учасниками процедури закупівлі та/або з уповноваженою особою (особами), та/або з керівником замовника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7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Замовник самостійно за результатами розгляду тендерної пропозиції учасника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 електронній системі закупівель відсутність в учасника процедури закупівлі такої підстав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визнаний в установленому законом порядку банкрутом та стосовно нього відкрита ліквідаційна процедура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8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 Єдиному державному реє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стр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 xml:space="preserve">державну реєстрацію юридичних осіб, фізичних осіб — підприємців та громадських формувань” (крім нерезидентів)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підпункт 9 пункту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47 Особливостей)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підтверджує відсутність підстави шляхом самостійного декларування відсутності такої підстави в електронній системі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Переможець не надає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юридична особа, яка є учасником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10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Default="000A7712" w:rsidP="000A7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  <w:p w:rsidR="000A7712" w:rsidRPr="000A7712" w:rsidRDefault="000A7712" w:rsidP="000A7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(лише у випадку, якщо вартість закупівлі дорівнює або перевищує 20 мільйонів гривень (у тому числі за лотом)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або кінцевий бенефіціарний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нею публічних закупівель товарів, робіт і послуг згідно із Законом України “Про санкції”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підпункт 11 пункту 47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lastRenderedPageBreak/>
              <w:t>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B666CD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 w:rsidR="00B6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</w:p>
          <w:p w:rsidR="00B666CD" w:rsidRPr="00B666CD" w:rsidRDefault="00B666CD" w:rsidP="00B666C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а також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у зв’язку із технічною невідповідністю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електронних полів вимогам законодавства, учасник</w:t>
            </w:r>
            <w:r w:rsidRPr="00B6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процедури закупівлі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подає довідку</w:t>
            </w:r>
            <w:r w:rsidRPr="00B6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у довільній формі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щодо </w:t>
            </w:r>
            <w:r w:rsidRPr="00B6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підтвердження відсутності підстави, яка визначена</w:t>
            </w:r>
            <w:r w:rsidRPr="00B666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 xml:space="preserve"> у підпункті 11 пункт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>у</w:t>
            </w:r>
            <w:r w:rsidRPr="00B666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 xml:space="preserve"> 47 Особливостей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Переможець не надає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керівника учасника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(підпункт 12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113F5B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керівника* учасника процедури закупівлі / фізичну особу, яка є учасником до кримінальної </w:t>
            </w:r>
            <w:r w:rsidRPr="00113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 не притягується, незнятої чи непогашеної судимості не має та в розшуку не перебува</w:t>
            </w:r>
            <w:proofErr w:type="gramStart"/>
            <w:r w:rsidRPr="00113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є.</w:t>
            </w:r>
            <w:proofErr w:type="gramEnd"/>
          </w:p>
          <w:p w:rsidR="000C6E28" w:rsidRPr="000C6E28" w:rsidRDefault="000C6E28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13F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Документ </w:t>
            </w:r>
            <w:proofErr w:type="gramStart"/>
            <w:r w:rsidRPr="00113F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повинен</w:t>
            </w:r>
            <w:proofErr w:type="gramEnd"/>
            <w:r w:rsidRPr="00113F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бути не більше тридцятиденної давнини від дати видачі документа.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Замовник може прийняти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ішення про відмову учаснику процедури закупівлі в участі у відкритих торгах та може відхилити тендерну пропозицію учасника процедури закупівлі в разі, коли учасник процедури закупівлі не виконав свої зобов’язання за раніше укладеним договором про закупівлю з цим самим замовником, що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призвело до його дострокового розірвання, і було застосовано санкції у вигляді штрафі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ідтвердження достатнім, учаснику процедури закупівлі не може бути відмовлено в участі в процедурі закупівлі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(абзац 14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має надати:</w:t>
            </w:r>
          </w:p>
          <w:p w:rsidR="000A7712" w:rsidRPr="00C651C0" w:rsidRDefault="000A7712" w:rsidP="000A7712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довідку в довільній формі про те, що між ним і замовником раніше не було укладено догові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закупівлю за яким учасник процедури закупівлі не виконав свої зобов’язання, що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призвело до його дострокового розірвання, і було застосовано санкції у вигляді штрафів та / або відшкодування збитків – протягом трьох років з дати дострокового розірвання такого договору;</w:t>
            </w:r>
          </w:p>
          <w:p w:rsidR="000A7712" w:rsidRPr="00C651C0" w:rsidRDefault="000A7712" w:rsidP="000A7712">
            <w:pPr>
              <w:spacing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 </w:t>
            </w:r>
          </w:p>
          <w:p w:rsidR="000A7712" w:rsidRPr="00C651C0" w:rsidRDefault="000A7712" w:rsidP="000A7712">
            <w:pPr>
              <w:numPr>
                <w:ilvl w:val="0"/>
                <w:numId w:val="3"/>
              </w:numPr>
              <w:suppressAutoHyphens w:val="0"/>
              <w:spacing w:after="0" w:line="0" w:lineRule="atLeast"/>
              <w:ind w:left="4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і, що перебуває в обставинах, зазначених в абзаці 14 пункту 47 Особливсотей,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він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повинен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 надає довідку в довільній формі про те, що між ним і замовником не було укладено договору про закупівлю за яким  переможець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0A7712" w:rsidRPr="00C651C0" w:rsidRDefault="000A7712" w:rsidP="000A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A7712" w:rsidRPr="00C651C0" w:rsidRDefault="000A7712" w:rsidP="000A7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</w:p>
          <w:p w:rsidR="000A7712" w:rsidRPr="00C651C0" w:rsidRDefault="000A7712" w:rsidP="000A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і, що перебуває в обставинах, зазначених в абзаці 14 пункті 47 Особливостей,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</w:tbl>
    <w:p w:rsidR="000A7712" w:rsidRPr="000A7712" w:rsidRDefault="000A7712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4E6D" w:rsidRPr="00DE4E6D" w:rsidRDefault="00DE4E6D" w:rsidP="00DE4E6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E4E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Враховуючи, що відповідно до статті 55 Господарського кодексу України відокремлені підрозділи та філії не є юридичними особами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</w:t>
      </w:r>
      <w:r w:rsidRPr="00DE4E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переможець, який є відокремленим підрозділом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 та наявності судимості» </w:t>
      </w:r>
      <w:r w:rsidRPr="00DE4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на керівника юридичної особи</w:t>
      </w:r>
      <w:r w:rsidRPr="00DE4E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а не керівника відокремленого підрозділу або філії.</w:t>
      </w:r>
      <w:r w:rsidRPr="00C651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13641F" w:rsidRPr="00331D55" w:rsidRDefault="0013641F" w:rsidP="0013641F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</w:t>
      </w:r>
      <w:r w:rsidRPr="0033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 Інша інформація (для УЧАСНИКІВ - юридичних осіб, фізичних осіб та фізичних осіб-підприємців).</w:t>
      </w: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8"/>
      </w:tblGrid>
      <w:tr w:rsidR="0013641F" w:rsidRPr="00331D55" w:rsidTr="000A7712">
        <w:trPr>
          <w:trHeight w:val="124"/>
        </w:trPr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641F" w:rsidRPr="00331D55" w:rsidRDefault="0013641F" w:rsidP="000A771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</w:tbl>
    <w:p w:rsidR="0013641F" w:rsidRPr="00144BF7" w:rsidRDefault="0013641F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tbl>
      <w:tblPr>
        <w:tblW w:w="9560" w:type="dxa"/>
        <w:tblInd w:w="8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6"/>
        <w:gridCol w:w="7574"/>
      </w:tblGrid>
      <w:tr w:rsidR="0013641F" w:rsidRPr="00113F5B" w:rsidTr="000A7712">
        <w:trPr>
          <w:trHeight w:val="807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0A771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0A771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на таку особу.</w:t>
            </w:r>
          </w:p>
        </w:tc>
      </w:tr>
      <w:tr w:rsidR="0013641F" w:rsidRPr="00884840" w:rsidTr="000A7712">
        <w:trPr>
          <w:trHeight w:val="87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0A7712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0A7712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4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Також, учасник надає:</w:t>
            </w:r>
          </w:p>
          <w:p w:rsidR="0013641F" w:rsidRPr="00331D55" w:rsidRDefault="00113F5B" w:rsidP="000A7712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bookmarkStart w:id="0" w:name="_GoBack"/>
            <w:bookmarkEnd w:id="0"/>
            <w:r w:rsidR="0013641F" w:rsidRPr="00D26A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розпорядчі документи про призначення (обрання) на посаду відповідної особи - наказ про призначення та/ або протокол зборів засновників</w:t>
            </w:r>
            <w:r w:rsidR="001364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тощо (для юридичних осіб)</w:t>
            </w:r>
            <w:r w:rsidR="0013641F" w:rsidRPr="00331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3641F" w:rsidRDefault="0013641F" w:rsidP="000A7712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1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витяг/свідоцтво про сплату ПДВ/єдиного податку;</w:t>
            </w:r>
          </w:p>
          <w:p w:rsidR="0013641F" w:rsidRDefault="000B5D99" w:rsidP="000A7712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1364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3641F" w:rsidRPr="00D26A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іноземного учасника - завірений переклад витягу з торгового реєстру, тощо</w:t>
            </w:r>
            <w:r w:rsidR="001364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3641F" w:rsidRPr="00144BF7" w:rsidRDefault="0013641F" w:rsidP="000A7712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26A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разі якщо тендерна пропозиція подається об'єднанням учасників, до неї обов'язково включається документ про створення такого об'єднанн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я.</w:t>
            </w:r>
          </w:p>
        </w:tc>
      </w:tr>
    </w:tbl>
    <w:p w:rsidR="0013641F" w:rsidRPr="00987226" w:rsidRDefault="0013641F" w:rsidP="0013641F">
      <w:pPr>
        <w:rPr>
          <w:lang w:val="uk-UA"/>
        </w:rPr>
      </w:pPr>
    </w:p>
    <w:p w:rsidR="0013641F" w:rsidRPr="00987226" w:rsidRDefault="0013641F" w:rsidP="0013641F">
      <w:pPr>
        <w:rPr>
          <w:lang w:val="uk-UA"/>
        </w:rPr>
      </w:pPr>
    </w:p>
    <w:p w:rsidR="0013641F" w:rsidRPr="00987226" w:rsidRDefault="0013641F" w:rsidP="0013641F">
      <w:pPr>
        <w:rPr>
          <w:lang w:val="uk-UA"/>
        </w:rPr>
      </w:pPr>
    </w:p>
    <w:p w:rsidR="0013641F" w:rsidRPr="00987226" w:rsidRDefault="0013641F" w:rsidP="0013641F">
      <w:pPr>
        <w:tabs>
          <w:tab w:val="left" w:pos="993"/>
        </w:tabs>
        <w:ind w:firstLine="568"/>
        <w:jc w:val="both"/>
        <w:rPr>
          <w:lang w:val="uk-UA"/>
        </w:rPr>
      </w:pPr>
    </w:p>
    <w:p w:rsidR="00981FDE" w:rsidRPr="0013641F" w:rsidRDefault="00981FDE">
      <w:pPr>
        <w:rPr>
          <w:lang w:val="uk-UA"/>
        </w:rPr>
      </w:pPr>
    </w:p>
    <w:sectPr w:rsidR="00981FDE" w:rsidRPr="0013641F" w:rsidSect="00257668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07B9"/>
    <w:multiLevelType w:val="multilevel"/>
    <w:tmpl w:val="F606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1F16D3"/>
    <w:multiLevelType w:val="multilevel"/>
    <w:tmpl w:val="9550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2C1513"/>
    <w:multiLevelType w:val="multilevel"/>
    <w:tmpl w:val="47D0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641F"/>
    <w:rsid w:val="000A7712"/>
    <w:rsid w:val="000B5D99"/>
    <w:rsid w:val="000C6E28"/>
    <w:rsid w:val="00113F5B"/>
    <w:rsid w:val="0013641F"/>
    <w:rsid w:val="0023436C"/>
    <w:rsid w:val="00257668"/>
    <w:rsid w:val="004F3CC5"/>
    <w:rsid w:val="00754690"/>
    <w:rsid w:val="00981FDE"/>
    <w:rsid w:val="00B666CD"/>
    <w:rsid w:val="00DE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1F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13641F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13641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3641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1F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13641F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13641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3641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orruptinfo.nazk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ruptinfo.nazk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2358</Words>
  <Characters>13444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Ксю</cp:lastModifiedBy>
  <cp:revision>4</cp:revision>
  <dcterms:created xsi:type="dcterms:W3CDTF">2023-02-26T19:37:00Z</dcterms:created>
  <dcterms:modified xsi:type="dcterms:W3CDTF">2023-06-01T19:49:00Z</dcterms:modified>
</cp:coreProperties>
</file>