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758C14A2" w:rsidR="00C528E4" w:rsidRPr="0013645E" w:rsidRDefault="00840E4A" w:rsidP="0032615C">
            <w:pPr>
              <w:jc w:val="both"/>
              <w:rPr>
                <w:color w:val="000000" w:themeColor="text1"/>
              </w:rPr>
            </w:pPr>
            <w:r w:rsidRPr="0013645E">
              <w:rPr>
                <w:b/>
                <w:color w:val="000000" w:themeColor="text1"/>
              </w:rPr>
              <w:t>Комунал</w:t>
            </w:r>
            <w:r w:rsidR="000E7C57">
              <w:rPr>
                <w:b/>
                <w:color w:val="000000" w:themeColor="text1"/>
              </w:rPr>
              <w:t xml:space="preserve">ьне некомерційне підприємство «Центр первинної медико-санітарної допомоги №2 </w:t>
            </w:r>
            <w:proofErr w:type="spellStart"/>
            <w:r w:rsidR="000E7C57">
              <w:rPr>
                <w:b/>
                <w:color w:val="000000" w:themeColor="text1"/>
              </w:rPr>
              <w:t>м.Вінниці</w:t>
            </w:r>
            <w:proofErr w:type="spellEnd"/>
            <w:r w:rsidR="000E7C57">
              <w:rPr>
                <w:b/>
                <w:color w:val="000000" w:themeColor="text1"/>
              </w:rPr>
              <w:t>»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41A3DD79" w:rsidR="00A96B26" w:rsidRPr="0013645E" w:rsidRDefault="000E7C57" w:rsidP="00AA3DAF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B46852E" w:rsidR="00A96B26" w:rsidRPr="0013645E" w:rsidRDefault="004906C3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38055061</w:t>
            </w:r>
          </w:p>
        </w:tc>
      </w:tr>
      <w:tr w:rsidR="0013645E" w:rsidRPr="0013645E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6712B6" w:rsidRDefault="004906C3" w:rsidP="000F1459">
            <w:pPr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6712B6">
              <w:rPr>
                <w:rFonts w:eastAsia="Times New Roman"/>
                <w:b/>
                <w:color w:val="000000" w:themeColor="text1"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13645E" w:rsidRPr="0013645E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13645E" w:rsidRDefault="00996869" w:rsidP="00EC137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2. Назва предмету закупівлі</w:t>
            </w:r>
            <w:r w:rsidR="00EC1376" w:rsidRPr="0013645E">
              <w:rPr>
                <w:rFonts w:eastAsia="Times New Roman"/>
                <w:bCs/>
                <w:color w:val="000000" w:themeColor="text1"/>
              </w:rPr>
              <w:t>:</w:t>
            </w:r>
          </w:p>
        </w:tc>
        <w:tc>
          <w:tcPr>
            <w:tcW w:w="5546" w:type="dxa"/>
            <w:vAlign w:val="center"/>
          </w:tcPr>
          <w:p w14:paraId="5B4649A8" w14:textId="77777777" w:rsidR="004C44DA" w:rsidRPr="004C44DA" w:rsidRDefault="004C44DA" w:rsidP="004C44DA">
            <w:pPr>
              <w:spacing w:after="160" w:line="259" w:lineRule="auto"/>
              <w:jc w:val="both"/>
              <w:rPr>
                <w:rFonts w:eastAsia="Times New Roman"/>
                <w:b/>
                <w:color w:val="000000" w:themeColor="text1"/>
              </w:rPr>
            </w:pPr>
          </w:p>
          <w:p w14:paraId="32849EAE" w14:textId="77777777" w:rsidR="004C44DA" w:rsidRPr="004C44DA" w:rsidRDefault="004C44DA" w:rsidP="004C44DA">
            <w:pPr>
              <w:spacing w:after="160" w:line="259" w:lineRule="auto"/>
              <w:jc w:val="both"/>
              <w:rPr>
                <w:rFonts w:eastAsia="Times New Roman"/>
                <w:b/>
                <w:color w:val="000000" w:themeColor="text1"/>
              </w:rPr>
            </w:pPr>
            <w:r w:rsidRPr="004C44DA">
              <w:rPr>
                <w:rFonts w:eastAsia="Times New Roman"/>
                <w:b/>
                <w:color w:val="000000" w:themeColor="text1"/>
              </w:rPr>
              <w:t xml:space="preserve">Класифікація за ДК 021:2015: 45260000-7 - Покрівельні роботи та інші спеціалізовані будівельні роботи (Капітальний ремонт покрівлі 1 корпусу КНП «Центр первинної медико-санітарної допомоги №2» за </w:t>
            </w:r>
            <w:proofErr w:type="spellStart"/>
            <w:r w:rsidRPr="004C44DA">
              <w:rPr>
                <w:rFonts w:eastAsia="Times New Roman"/>
                <w:b/>
                <w:color w:val="000000" w:themeColor="text1"/>
              </w:rPr>
              <w:t>адресою</w:t>
            </w:r>
            <w:proofErr w:type="spellEnd"/>
            <w:r w:rsidRPr="004C44DA">
              <w:rPr>
                <w:rFonts w:eastAsia="Times New Roman"/>
                <w:b/>
                <w:color w:val="000000" w:themeColor="text1"/>
              </w:rPr>
              <w:t xml:space="preserve">: Україна, </w:t>
            </w:r>
            <w:proofErr w:type="spellStart"/>
            <w:r w:rsidRPr="004C44DA">
              <w:rPr>
                <w:rFonts w:eastAsia="Times New Roman"/>
                <w:b/>
                <w:color w:val="000000" w:themeColor="text1"/>
              </w:rPr>
              <w:t>м.Вінниця</w:t>
            </w:r>
            <w:proofErr w:type="spellEnd"/>
            <w:r w:rsidRPr="004C44DA">
              <w:rPr>
                <w:rFonts w:eastAsia="Times New Roman"/>
                <w:b/>
                <w:color w:val="000000" w:themeColor="text1"/>
              </w:rPr>
              <w:t>, вул. Магістратська,44).</w:t>
            </w:r>
          </w:p>
          <w:p w14:paraId="28ED1B5C" w14:textId="05FB2665" w:rsidR="00A96B26" w:rsidRPr="00326B7A" w:rsidRDefault="00A96B26" w:rsidP="00326B7A">
            <w:pPr>
              <w:spacing w:after="160" w:line="259" w:lineRule="auto"/>
              <w:jc w:val="both"/>
            </w:pPr>
          </w:p>
        </w:tc>
      </w:tr>
      <w:tr w:rsidR="0013645E" w:rsidRPr="0013645E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4439CEE1" w:rsidR="00CB73B3" w:rsidRPr="0013645E" w:rsidRDefault="004906C3" w:rsidP="009F626F">
            <w:pPr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Згідно Додатку</w:t>
            </w:r>
            <w:r w:rsidR="00471C29">
              <w:rPr>
                <w:b/>
                <w:color w:val="000000" w:themeColor="text1"/>
              </w:rPr>
              <w:t xml:space="preserve"> №</w:t>
            </w:r>
            <w:r w:rsidR="009F626F">
              <w:rPr>
                <w:b/>
              </w:rPr>
              <w:t>3 та Додатку</w:t>
            </w:r>
            <w:r w:rsidR="00471C29">
              <w:rPr>
                <w:b/>
              </w:rPr>
              <w:t>№</w:t>
            </w:r>
            <w:r w:rsidR="009F626F">
              <w:rPr>
                <w:b/>
              </w:rPr>
              <w:t>3.1</w:t>
            </w:r>
          </w:p>
        </w:tc>
      </w:tr>
      <w:tr w:rsidR="0013645E" w:rsidRPr="0013645E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3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7407CD5F" w:rsidR="00EC1376" w:rsidRPr="0013645E" w:rsidRDefault="000E7C57" w:rsidP="00840E4A">
            <w:pPr>
              <w:ind w:firstLine="1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>, вул. Магістратська,44</w:t>
            </w:r>
          </w:p>
        </w:tc>
      </w:tr>
      <w:tr w:rsidR="0013645E" w:rsidRPr="0013645E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13645E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5FC34348" w:rsidR="00F7027A" w:rsidRDefault="00AB7C33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4</w:t>
            </w:r>
            <w:r w:rsidR="00471C29">
              <w:rPr>
                <w:b/>
                <w:color w:val="000000" w:themeColor="text1"/>
                <w:lang w:val="uk-UA"/>
              </w:rPr>
              <w:t> </w:t>
            </w:r>
            <w:r>
              <w:rPr>
                <w:b/>
                <w:color w:val="000000" w:themeColor="text1"/>
                <w:lang w:val="uk-UA"/>
              </w:rPr>
              <w:t>325</w:t>
            </w:r>
            <w:r w:rsidR="00471C29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>531,00</w:t>
            </w:r>
            <w:r w:rsidR="004C44DA">
              <w:rPr>
                <w:b/>
                <w:color w:val="000000" w:themeColor="text1"/>
                <w:lang w:val="uk-UA"/>
              </w:rPr>
              <w:t xml:space="preserve"> </w:t>
            </w:r>
            <w:r w:rsidR="00E541DB">
              <w:rPr>
                <w:b/>
                <w:color w:val="000000" w:themeColor="text1"/>
                <w:lang w:val="uk-UA"/>
              </w:rPr>
              <w:t xml:space="preserve"> </w:t>
            </w:r>
            <w:r w:rsidR="004906C3">
              <w:rPr>
                <w:b/>
                <w:color w:val="000000" w:themeColor="text1"/>
                <w:lang w:val="uk-UA"/>
              </w:rPr>
              <w:t>грн</w:t>
            </w:r>
            <w:r w:rsidR="003E6B05">
              <w:rPr>
                <w:b/>
                <w:color w:val="000000" w:themeColor="text1"/>
                <w:lang w:val="uk-UA"/>
              </w:rPr>
              <w:t xml:space="preserve"> з ПДВ</w:t>
            </w:r>
            <w:r w:rsidR="006712B6">
              <w:rPr>
                <w:b/>
                <w:color w:val="000000" w:themeColor="text1"/>
                <w:lang w:val="uk-UA"/>
              </w:rPr>
              <w:t>.</w:t>
            </w:r>
            <w:r w:rsidR="00B64395">
              <w:rPr>
                <w:b/>
                <w:color w:val="000000" w:themeColor="text1"/>
                <w:lang w:val="uk-UA"/>
              </w:rPr>
              <w:t xml:space="preserve"> </w:t>
            </w:r>
          </w:p>
          <w:p w14:paraId="5AE93CBD" w14:textId="755CCF85" w:rsidR="005A2FAB" w:rsidRPr="0013645E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color w:val="000000" w:themeColor="text1"/>
                <w:lang w:val="uk-UA"/>
              </w:rPr>
            </w:pPr>
          </w:p>
        </w:tc>
      </w:tr>
      <w:tr w:rsidR="0013645E" w:rsidRPr="0013645E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13645E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 xml:space="preserve">5. </w:t>
            </w:r>
            <w:r w:rsidR="00DE06BA">
              <w:rPr>
                <w:rFonts w:eastAsia="Times New Roman"/>
                <w:bCs/>
                <w:color w:val="000000" w:themeColor="text1"/>
              </w:rPr>
              <w:t>Кінцевий с</w:t>
            </w:r>
            <w:r w:rsidRPr="0013645E">
              <w:rPr>
                <w:rFonts w:eastAsia="Times New Roman"/>
                <w:bCs/>
                <w:color w:val="000000" w:themeColor="text1"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7CCF641A" w:rsidR="00EC1376" w:rsidRPr="0013645E" w:rsidRDefault="00EC1376" w:rsidP="00996869">
            <w:pPr>
              <w:rPr>
                <w:rStyle w:val="a3"/>
                <w:rFonts w:eastAsia="Times New Roman"/>
                <w:color w:val="000000" w:themeColor="text1"/>
              </w:rPr>
            </w:pP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до </w:t>
            </w:r>
            <w:r w:rsidR="00D13BBC" w:rsidRPr="0013645E">
              <w:rPr>
                <w:rFonts w:eastAsia="Times New Roman"/>
                <w:b/>
                <w:color w:val="000000" w:themeColor="text1"/>
                <w:lang w:eastAsia="ru-RU"/>
              </w:rPr>
              <w:t>31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4E11A7" w:rsidRPr="0013645E">
              <w:rPr>
                <w:rFonts w:eastAsia="Times New Roman"/>
                <w:b/>
                <w:color w:val="000000" w:themeColor="text1"/>
                <w:lang w:eastAsia="ru-RU"/>
              </w:rPr>
              <w:t>12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  <w:r w:rsidR="00840E4A" w:rsidRPr="0013645E">
              <w:rPr>
                <w:rFonts w:eastAsia="Times New Roman"/>
                <w:b/>
                <w:color w:val="000000" w:themeColor="text1"/>
                <w:lang w:eastAsia="ru-RU"/>
              </w:rPr>
              <w:t>202</w:t>
            </w:r>
            <w:r w:rsidR="00CF2D10">
              <w:rPr>
                <w:rFonts w:eastAsia="Times New Roman"/>
                <w:b/>
                <w:color w:val="000000" w:themeColor="text1"/>
                <w:lang w:eastAsia="ru-RU"/>
              </w:rPr>
              <w:t>3</w:t>
            </w:r>
            <w:r w:rsidRPr="0013645E">
              <w:rPr>
                <w:rFonts w:eastAsia="Times New Roman"/>
                <w:b/>
                <w:color w:val="000000" w:themeColor="text1"/>
                <w:lang w:eastAsia="ru-RU"/>
              </w:rPr>
              <w:t xml:space="preserve"> року</w:t>
            </w:r>
          </w:p>
        </w:tc>
      </w:tr>
      <w:tr w:rsidR="0013645E" w:rsidRPr="0013645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598D0EB6" w:rsidR="00EC1376" w:rsidRPr="0013645E" w:rsidRDefault="00642E22" w:rsidP="00146936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>
              <w:rPr>
                <w:rStyle w:val="a3"/>
              </w:rPr>
              <w:t>01</w:t>
            </w:r>
            <w:r w:rsidR="00EC1376" w:rsidRPr="00EC76DE">
              <w:rPr>
                <w:rStyle w:val="a3"/>
              </w:rPr>
              <w:t>.</w:t>
            </w:r>
            <w:r>
              <w:rPr>
                <w:rStyle w:val="a3"/>
              </w:rPr>
              <w:t>04</w:t>
            </w:r>
            <w:r w:rsidR="00EC1376" w:rsidRPr="00EC76DE">
              <w:rPr>
                <w:rStyle w:val="a3"/>
              </w:rPr>
              <w:t>.202</w:t>
            </w:r>
            <w:r w:rsidR="00EC76DE" w:rsidRPr="00EC76DE">
              <w:rPr>
                <w:rStyle w:val="a3"/>
              </w:rPr>
              <w:t>3</w:t>
            </w:r>
            <w:r w:rsidR="00FA59F3" w:rsidRPr="00EC76DE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EC76DE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EC76DE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>
              <w:rPr>
                <w:rStyle w:val="a3"/>
                <w:rFonts w:eastAsia="Times New Roman"/>
                <w:bCs w:val="0"/>
              </w:rPr>
              <w:t>01</w:t>
            </w:r>
            <w:bookmarkStart w:id="0" w:name="_GoBack"/>
            <w:bookmarkEnd w:id="0"/>
            <w:r w:rsidR="006A01B3" w:rsidRPr="00EC76DE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13645E" w:rsidRPr="0013645E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13645E">
              <w:rPr>
                <w:rFonts w:eastAsia="Times New Roman"/>
                <w:b/>
                <w:bCs/>
                <w:color w:val="000000" w:themeColor="text1"/>
              </w:rPr>
              <w:t xml:space="preserve">Тип: </w:t>
            </w:r>
            <w:proofErr w:type="spellStart"/>
            <w:r w:rsidRPr="0013645E">
              <w:rPr>
                <w:rFonts w:eastAsia="Times New Roman"/>
                <w:b/>
                <w:bCs/>
                <w:color w:val="000000" w:themeColor="text1"/>
              </w:rPr>
              <w:t>післяоплата</w:t>
            </w:r>
            <w:proofErr w:type="spellEnd"/>
            <w:r w:rsidRPr="0013645E">
              <w:rPr>
                <w:rFonts w:eastAsia="Times New Roman"/>
                <w:b/>
                <w:bCs/>
                <w:color w:val="000000" w:themeColor="text1"/>
              </w:rPr>
              <w:t>;</w:t>
            </w:r>
          </w:p>
          <w:p w14:paraId="02922238" w14:textId="77777777" w:rsidR="004C44DA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</w:p>
          <w:p w14:paraId="2CA655A0" w14:textId="77777777" w:rsidR="004C44DA" w:rsidRPr="009920A8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9920A8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9920A8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9920A8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9920A8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9920A8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9920A8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  <w:color w:val="000000" w:themeColor="text1"/>
              </w:rPr>
            </w:pPr>
            <w:r w:rsidRPr="005707DB">
              <w:rPr>
                <w:rFonts w:eastAsia="Times New Roman"/>
                <w:b/>
                <w:bCs/>
                <w:color w:val="000000" w:themeColor="text1"/>
              </w:rPr>
              <w:t>Усі розрахунки за Договором проводяться у безготівковій формі</w:t>
            </w:r>
            <w:r>
              <w:rPr>
                <w:rFonts w:eastAsia="Times New Roman"/>
                <w:b/>
                <w:bCs/>
                <w:color w:val="000000" w:themeColor="text1"/>
              </w:rPr>
              <w:t>.</w:t>
            </w:r>
          </w:p>
          <w:p w14:paraId="0A4847A3" w14:textId="4454C92A" w:rsidR="00EC1376" w:rsidRPr="005A2FAB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EC76DE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EC76DE">
              <w:rPr>
                <w:rFonts w:eastAsia="Times New Roman"/>
                <w:b/>
                <w:bCs/>
              </w:rPr>
              <w:t>10</w:t>
            </w:r>
            <w:r w:rsidR="001F6A93" w:rsidRPr="00EC76DE">
              <w:rPr>
                <w:rFonts w:eastAsia="Times New Roman"/>
                <w:b/>
                <w:bCs/>
              </w:rPr>
              <w:t>0</w:t>
            </w:r>
            <w:r w:rsidRPr="00EC76DE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13645E" w:rsidRPr="0013645E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13645E" w:rsidRDefault="00EC1376" w:rsidP="00AA3DAF">
            <w:pPr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8. Мова (мови), якою</w:t>
            </w:r>
            <w:r w:rsidR="00B84BA3" w:rsidRPr="0013645E">
              <w:rPr>
                <w:rFonts w:eastAsia="Times New Roman"/>
                <w:bCs/>
                <w:color w:val="000000" w:themeColor="text1"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13645E" w:rsidRDefault="00346E6E" w:rsidP="00840E4A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color w:val="000000" w:themeColor="text1"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</w:t>
            </w:r>
            <w:r w:rsidRPr="000E7C57">
              <w:rPr>
                <w:b/>
                <w:color w:val="000000" w:themeColor="text1"/>
              </w:rPr>
              <w:t>українською  мовою.</w:t>
            </w:r>
            <w:r w:rsidRPr="0013645E">
              <w:rPr>
                <w:color w:val="000000" w:themeColor="text1"/>
              </w:rPr>
              <w:t xml:space="preserve">  </w:t>
            </w:r>
          </w:p>
        </w:tc>
      </w:tr>
      <w:tr w:rsidR="0013645E" w:rsidRPr="0013645E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13645E" w:rsidRDefault="00B84BA3" w:rsidP="0040478A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lastRenderedPageBreak/>
              <w:t>9.</w:t>
            </w:r>
            <w:r w:rsidRPr="0013645E">
              <w:rPr>
                <w:color w:val="000000" w:themeColor="text1"/>
              </w:rPr>
              <w:t xml:space="preserve"> </w:t>
            </w:r>
            <w:r w:rsidRPr="0013645E">
              <w:rPr>
                <w:rFonts w:eastAsia="Times New Roman"/>
                <w:bCs/>
                <w:color w:val="000000" w:themeColor="text1"/>
              </w:rPr>
              <w:t>Розмір, вид та умови надання забезпечення тендерних пропозицій</w:t>
            </w:r>
            <w:r w:rsidR="00EF7A4C" w:rsidRPr="0013645E">
              <w:rPr>
                <w:rFonts w:eastAsia="Times New Roman"/>
                <w:bCs/>
                <w:color w:val="000000" w:themeColor="text1"/>
              </w:rPr>
              <w:t xml:space="preserve"> (якщо замовник вимагає його надати)</w:t>
            </w:r>
            <w:r w:rsidR="00996869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448F9042" w14:textId="243F7A33" w:rsidR="00B84BA3" w:rsidRDefault="00346E6E" w:rsidP="00996869">
            <w:pPr>
              <w:jc w:val="both"/>
              <w:textAlignment w:val="top"/>
              <w:rPr>
                <w:color w:val="000000" w:themeColor="text1"/>
              </w:rPr>
            </w:pPr>
            <w:r w:rsidRPr="009F626F">
              <w:rPr>
                <w:color w:val="000000" w:themeColor="text1"/>
              </w:rPr>
              <w:t xml:space="preserve">Забезпечення </w:t>
            </w:r>
            <w:r w:rsidR="00996869" w:rsidRPr="009F626F">
              <w:rPr>
                <w:color w:val="000000" w:themeColor="text1"/>
              </w:rPr>
              <w:t>тендерної пропозиції вимагається</w:t>
            </w:r>
          </w:p>
          <w:p w14:paraId="146A5A4F" w14:textId="3100EB27" w:rsidR="00996869" w:rsidRPr="0013645E" w:rsidRDefault="00996869" w:rsidP="00996869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</w:p>
        </w:tc>
      </w:tr>
      <w:tr w:rsidR="0013645E" w:rsidRPr="0013645E" w14:paraId="6D286322" w14:textId="77777777" w:rsidTr="00AE014E">
        <w:tc>
          <w:tcPr>
            <w:tcW w:w="4390" w:type="dxa"/>
            <w:vAlign w:val="center"/>
            <w:hideMark/>
          </w:tcPr>
          <w:p w14:paraId="4A74D01F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10.</w:t>
            </w:r>
            <w:r w:rsidRPr="0013645E">
              <w:rPr>
                <w:color w:val="000000" w:themeColor="text1"/>
              </w:rPr>
              <w:t xml:space="preserve"> Д</w:t>
            </w:r>
            <w:r w:rsidRPr="0013645E">
              <w:rPr>
                <w:rFonts w:eastAsia="Times New Roman"/>
                <w:bCs/>
                <w:color w:val="000000" w:themeColor="text1"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546" w:type="dxa"/>
            <w:vAlign w:val="center"/>
          </w:tcPr>
          <w:p w14:paraId="7E611325" w14:textId="4E9EB37C" w:rsidR="00B84BA3" w:rsidRPr="0013645E" w:rsidRDefault="00A45D02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A45D02">
              <w:rPr>
                <w:b/>
                <w:bCs/>
                <w:color w:val="000000" w:themeColor="text1"/>
              </w:rPr>
              <w:t>Положення </w:t>
            </w:r>
            <w:hyperlink r:id="rId8" w:anchor="n1059" w:tgtFrame="_blank" w:history="1">
              <w:r w:rsidRPr="00A45D02">
                <w:rPr>
                  <w:rStyle w:val="aa"/>
                  <w:b/>
                  <w:bCs/>
                </w:rPr>
                <w:t>частини третьої</w:t>
              </w:r>
            </w:hyperlink>
            <w:r w:rsidRPr="00A45D02">
              <w:rPr>
                <w:b/>
                <w:bCs/>
                <w:color w:val="000000" w:themeColor="text1"/>
              </w:rPr>
              <w:t> статті 10 Закону до відкритих торгів, оголошених замовником згідно з цими особливостями, не застосовується.</w:t>
            </w:r>
          </w:p>
        </w:tc>
      </w:tr>
      <w:tr w:rsidR="0013645E" w:rsidRPr="0013645E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11.</w:t>
            </w:r>
            <w:r w:rsidRPr="0013645E">
              <w:rPr>
                <w:color w:val="000000" w:themeColor="text1"/>
              </w:rPr>
              <w:t xml:space="preserve"> Р</w:t>
            </w:r>
            <w:r w:rsidRPr="0013645E">
              <w:rPr>
                <w:rFonts w:eastAsia="Times New Roman"/>
                <w:bCs/>
                <w:color w:val="000000" w:themeColor="text1"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7E65C221" w14:textId="5B52B2B0" w:rsidR="00B84BA3" w:rsidRPr="0013645E" w:rsidRDefault="00974E5E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>
              <w:rPr>
                <w:rStyle w:val="a3"/>
                <w:color w:val="000000" w:themeColor="text1"/>
              </w:rPr>
              <w:t xml:space="preserve"> </w:t>
            </w:r>
            <w:r w:rsidRPr="00974E5E">
              <w:rPr>
                <w:rStyle w:val="a3"/>
                <w:color w:val="000000" w:themeColor="text1"/>
              </w:rPr>
              <w:t>Указаний крок аукціону не брати до уваги , оскільки вступили в силу дії Зміни</w:t>
            </w:r>
            <w:r>
              <w:rPr>
                <w:rStyle w:val="a3"/>
                <w:color w:val="000000" w:themeColor="text1"/>
              </w:rPr>
              <w:t xml:space="preserve"> Особливостей.</w:t>
            </w:r>
          </w:p>
          <w:p w14:paraId="31615663" w14:textId="77777777" w:rsidR="00974E5E" w:rsidRPr="00974E5E" w:rsidRDefault="00974E5E" w:rsidP="00974E5E">
            <w:pPr>
              <w:shd w:val="clear" w:color="auto" w:fill="FFFFFF"/>
              <w:spacing w:after="150"/>
              <w:ind w:firstLine="450"/>
              <w:jc w:val="both"/>
              <w:rPr>
                <w:rFonts w:eastAsia="Times New Roman"/>
              </w:rPr>
            </w:pPr>
            <w:r w:rsidRPr="00974E5E">
              <w:rPr>
                <w:rFonts w:eastAsia="Times New Roman"/>
              </w:rPr>
              <w:t>Відкриті торги проводяться без застосування електронного аукціону.</w:t>
            </w:r>
          </w:p>
          <w:p w14:paraId="35D28F10" w14:textId="736FCB71" w:rsidR="00B84BA3" w:rsidRPr="00892F32" w:rsidRDefault="00974E5E" w:rsidP="00892F32">
            <w:pPr>
              <w:shd w:val="clear" w:color="auto" w:fill="FFFFFF"/>
              <w:spacing w:after="150"/>
              <w:ind w:firstLine="450"/>
              <w:jc w:val="both"/>
              <w:rPr>
                <w:rStyle w:val="a3"/>
                <w:rFonts w:eastAsia="Times New Roman"/>
                <w:b w:val="0"/>
                <w:bCs w:val="0"/>
                <w:i/>
                <w:iCs/>
                <w:color w:val="333333"/>
              </w:rPr>
            </w:pPr>
            <w:bookmarkStart w:id="1" w:name="n289"/>
            <w:bookmarkEnd w:id="1"/>
            <w:r w:rsidRPr="00974E5E">
              <w:rPr>
                <w:rFonts w:eastAsia="Times New Roman"/>
                <w:i/>
                <w:iCs/>
              </w:rPr>
              <w:t xml:space="preserve">{Пункт 35 в редакції Постанови </w:t>
            </w:r>
            <w:r w:rsidRPr="00974E5E">
              <w:rPr>
                <w:rFonts w:eastAsia="Times New Roman"/>
                <w:i/>
                <w:iCs/>
                <w:color w:val="333333"/>
              </w:rPr>
              <w:t>КМ </w:t>
            </w:r>
            <w:hyperlink r:id="rId9" w:anchor="n26" w:tgtFrame="_blank" w:history="1">
              <w:r w:rsidRPr="00974E5E">
                <w:rPr>
                  <w:rFonts w:eastAsia="Times New Roman"/>
                  <w:i/>
                  <w:iCs/>
                  <w:color w:val="000099"/>
                  <w:u w:val="single"/>
                </w:rPr>
                <w:t>№ 1495 від 30.12.2022</w:t>
              </w:r>
            </w:hyperlink>
            <w:r w:rsidRPr="00974E5E">
              <w:rPr>
                <w:rFonts w:eastAsia="Times New Roman"/>
                <w:i/>
                <w:iCs/>
                <w:color w:val="333333"/>
              </w:rPr>
              <w:t>}</w:t>
            </w:r>
          </w:p>
        </w:tc>
      </w:tr>
      <w:tr w:rsidR="00B84BA3" w:rsidRPr="0013645E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77777777" w:rsidR="00B84BA3" w:rsidRPr="0013645E" w:rsidRDefault="00B84BA3" w:rsidP="00B84BA3">
            <w:pPr>
              <w:jc w:val="both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13645E" w:rsidRDefault="00B84BA3" w:rsidP="00B84BA3">
            <w:pPr>
              <w:jc w:val="both"/>
              <w:textAlignment w:val="top"/>
              <w:rPr>
                <w:rStyle w:val="a3"/>
                <w:color w:val="000000" w:themeColor="text1"/>
              </w:rPr>
            </w:pPr>
            <w:r w:rsidRPr="0013645E">
              <w:rPr>
                <w:rStyle w:val="a3"/>
                <w:color w:val="000000" w:themeColor="text1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13645E" w:rsidRDefault="00A027FD">
      <w:pPr>
        <w:textAlignment w:val="top"/>
        <w:rPr>
          <w:rFonts w:eastAsia="Times New Roman"/>
          <w:color w:val="000000" w:themeColor="text1"/>
          <w:sz w:val="10"/>
          <w:szCs w:val="10"/>
        </w:rPr>
      </w:pPr>
    </w:p>
    <w:p w14:paraId="5737F9D9" w14:textId="77777777" w:rsidR="002B049C" w:rsidRPr="0013645E" w:rsidRDefault="002B049C">
      <w:pPr>
        <w:textAlignment w:val="top"/>
        <w:rPr>
          <w:rFonts w:eastAsia="Times New Roman"/>
          <w:bCs/>
          <w:color w:val="000000" w:themeColor="text1"/>
          <w:sz w:val="10"/>
          <w:szCs w:val="10"/>
        </w:rPr>
      </w:pPr>
    </w:p>
    <w:p w14:paraId="2D8CAEB0" w14:textId="148AABDC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26EFDB09" w14:textId="5AB2A004" w:rsidR="00AD1105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11B198B1" w14:textId="77777777" w:rsidR="00AD1105" w:rsidRPr="0013645E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000000" w:themeColor="text1"/>
        </w:rPr>
      </w:pPr>
    </w:p>
    <w:p w14:paraId="54F71B35" w14:textId="77777777" w:rsidR="00E06F47" w:rsidRPr="0013645E" w:rsidRDefault="00E06F47" w:rsidP="00CB73B3">
      <w:pPr>
        <w:rPr>
          <w:rFonts w:eastAsia="Times New Roman"/>
          <w:bCs/>
          <w:color w:val="000000" w:themeColor="text1"/>
        </w:rPr>
      </w:pPr>
    </w:p>
    <w:sectPr w:rsidR="00E06F47" w:rsidRPr="0013645E" w:rsidSect="00681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301F3" w14:textId="77777777" w:rsidR="005A2EEA" w:rsidRDefault="005A2EEA" w:rsidP="003E1630">
      <w:r>
        <w:separator/>
      </w:r>
    </w:p>
  </w:endnote>
  <w:endnote w:type="continuationSeparator" w:id="0">
    <w:p w14:paraId="1FD7A677" w14:textId="77777777" w:rsidR="005A2EEA" w:rsidRDefault="005A2EEA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4266" w14:textId="77777777" w:rsidR="005A2EEA" w:rsidRDefault="005A2EEA" w:rsidP="003E1630">
      <w:r>
        <w:separator/>
      </w:r>
    </w:p>
  </w:footnote>
  <w:footnote w:type="continuationSeparator" w:id="0">
    <w:p w14:paraId="280EC0C9" w14:textId="77777777" w:rsidR="005A2EEA" w:rsidRDefault="005A2EEA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75583"/>
    <w:rsid w:val="00092060"/>
    <w:rsid w:val="00092FF9"/>
    <w:rsid w:val="000B58AF"/>
    <w:rsid w:val="000E7C57"/>
    <w:rsid w:val="000F1459"/>
    <w:rsid w:val="000F2936"/>
    <w:rsid w:val="000F7C1E"/>
    <w:rsid w:val="00100392"/>
    <w:rsid w:val="00110BB8"/>
    <w:rsid w:val="00126899"/>
    <w:rsid w:val="00130B35"/>
    <w:rsid w:val="0013645E"/>
    <w:rsid w:val="00137DE6"/>
    <w:rsid w:val="00146936"/>
    <w:rsid w:val="0015045A"/>
    <w:rsid w:val="00160DAA"/>
    <w:rsid w:val="001750A1"/>
    <w:rsid w:val="00192950"/>
    <w:rsid w:val="001A5D2C"/>
    <w:rsid w:val="001B60F7"/>
    <w:rsid w:val="001D0181"/>
    <w:rsid w:val="001E4BDE"/>
    <w:rsid w:val="001E7F09"/>
    <w:rsid w:val="001F6A93"/>
    <w:rsid w:val="0020778B"/>
    <w:rsid w:val="0022430B"/>
    <w:rsid w:val="00240DC1"/>
    <w:rsid w:val="00245B4C"/>
    <w:rsid w:val="00252ED4"/>
    <w:rsid w:val="00253100"/>
    <w:rsid w:val="002669DD"/>
    <w:rsid w:val="00286A23"/>
    <w:rsid w:val="0029281A"/>
    <w:rsid w:val="0029390A"/>
    <w:rsid w:val="002B049C"/>
    <w:rsid w:val="002C1C55"/>
    <w:rsid w:val="002F119E"/>
    <w:rsid w:val="002F30CF"/>
    <w:rsid w:val="002F42F5"/>
    <w:rsid w:val="0032427D"/>
    <w:rsid w:val="00326B7A"/>
    <w:rsid w:val="003379E2"/>
    <w:rsid w:val="00345A95"/>
    <w:rsid w:val="00346E6E"/>
    <w:rsid w:val="003774BC"/>
    <w:rsid w:val="003A2C06"/>
    <w:rsid w:val="003C6B98"/>
    <w:rsid w:val="003E1630"/>
    <w:rsid w:val="003E1DAE"/>
    <w:rsid w:val="003E6569"/>
    <w:rsid w:val="003E6B05"/>
    <w:rsid w:val="003F09C9"/>
    <w:rsid w:val="003F4B0E"/>
    <w:rsid w:val="0040478A"/>
    <w:rsid w:val="004111BA"/>
    <w:rsid w:val="004117A9"/>
    <w:rsid w:val="00413D27"/>
    <w:rsid w:val="004154F7"/>
    <w:rsid w:val="00437CEF"/>
    <w:rsid w:val="004665EA"/>
    <w:rsid w:val="00471C29"/>
    <w:rsid w:val="00476CC5"/>
    <w:rsid w:val="004860D1"/>
    <w:rsid w:val="004906C3"/>
    <w:rsid w:val="004A7A55"/>
    <w:rsid w:val="004B09B6"/>
    <w:rsid w:val="004B6C97"/>
    <w:rsid w:val="004C44DA"/>
    <w:rsid w:val="004C70EE"/>
    <w:rsid w:val="004E11A7"/>
    <w:rsid w:val="004E74B1"/>
    <w:rsid w:val="00524A5B"/>
    <w:rsid w:val="005309AC"/>
    <w:rsid w:val="005707DB"/>
    <w:rsid w:val="00572CA1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CEA"/>
    <w:rsid w:val="005F5F42"/>
    <w:rsid w:val="006041E3"/>
    <w:rsid w:val="00641F4D"/>
    <w:rsid w:val="00642E2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F0E52"/>
    <w:rsid w:val="00702812"/>
    <w:rsid w:val="00712F9B"/>
    <w:rsid w:val="007220D5"/>
    <w:rsid w:val="00736D58"/>
    <w:rsid w:val="00754919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63FC8"/>
    <w:rsid w:val="008663EF"/>
    <w:rsid w:val="0087275D"/>
    <w:rsid w:val="008739E0"/>
    <w:rsid w:val="00887249"/>
    <w:rsid w:val="00892F32"/>
    <w:rsid w:val="008D7546"/>
    <w:rsid w:val="00921474"/>
    <w:rsid w:val="00941034"/>
    <w:rsid w:val="009466B3"/>
    <w:rsid w:val="00953AFB"/>
    <w:rsid w:val="00955017"/>
    <w:rsid w:val="0096269E"/>
    <w:rsid w:val="00965EA5"/>
    <w:rsid w:val="00974E5E"/>
    <w:rsid w:val="0097646A"/>
    <w:rsid w:val="0098127B"/>
    <w:rsid w:val="009855E6"/>
    <w:rsid w:val="009914A2"/>
    <w:rsid w:val="009920A8"/>
    <w:rsid w:val="0099273F"/>
    <w:rsid w:val="00996869"/>
    <w:rsid w:val="009A69D3"/>
    <w:rsid w:val="009B7602"/>
    <w:rsid w:val="009C7246"/>
    <w:rsid w:val="009E2608"/>
    <w:rsid w:val="009F179D"/>
    <w:rsid w:val="009F626F"/>
    <w:rsid w:val="009F6F99"/>
    <w:rsid w:val="00A026F4"/>
    <w:rsid w:val="00A027FD"/>
    <w:rsid w:val="00A06E65"/>
    <w:rsid w:val="00A173D3"/>
    <w:rsid w:val="00A21FB1"/>
    <w:rsid w:val="00A2296A"/>
    <w:rsid w:val="00A45D02"/>
    <w:rsid w:val="00A47D35"/>
    <w:rsid w:val="00A66DAD"/>
    <w:rsid w:val="00A673CC"/>
    <w:rsid w:val="00A73919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84BA3"/>
    <w:rsid w:val="00B85FC4"/>
    <w:rsid w:val="00B92865"/>
    <w:rsid w:val="00BA2772"/>
    <w:rsid w:val="00BA7CDF"/>
    <w:rsid w:val="00BC1750"/>
    <w:rsid w:val="00BC57BB"/>
    <w:rsid w:val="00BE6648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51275"/>
    <w:rsid w:val="00C528E4"/>
    <w:rsid w:val="00C60514"/>
    <w:rsid w:val="00C65C5A"/>
    <w:rsid w:val="00C91E53"/>
    <w:rsid w:val="00CA1A24"/>
    <w:rsid w:val="00CA2FF3"/>
    <w:rsid w:val="00CB73B3"/>
    <w:rsid w:val="00CD34A5"/>
    <w:rsid w:val="00CD3872"/>
    <w:rsid w:val="00CE5BF8"/>
    <w:rsid w:val="00CF1C52"/>
    <w:rsid w:val="00CF2D10"/>
    <w:rsid w:val="00CF3911"/>
    <w:rsid w:val="00D01714"/>
    <w:rsid w:val="00D03B21"/>
    <w:rsid w:val="00D1388F"/>
    <w:rsid w:val="00D13BBC"/>
    <w:rsid w:val="00D20208"/>
    <w:rsid w:val="00D24703"/>
    <w:rsid w:val="00D2619D"/>
    <w:rsid w:val="00D871FA"/>
    <w:rsid w:val="00DA19FE"/>
    <w:rsid w:val="00DA7439"/>
    <w:rsid w:val="00DC028B"/>
    <w:rsid w:val="00DC4C29"/>
    <w:rsid w:val="00DD54A4"/>
    <w:rsid w:val="00DE06BA"/>
    <w:rsid w:val="00DE615C"/>
    <w:rsid w:val="00DE70DB"/>
    <w:rsid w:val="00E06F47"/>
    <w:rsid w:val="00E15737"/>
    <w:rsid w:val="00E37DAA"/>
    <w:rsid w:val="00E4624C"/>
    <w:rsid w:val="00E516C8"/>
    <w:rsid w:val="00E52C76"/>
    <w:rsid w:val="00E541DB"/>
    <w:rsid w:val="00E86E39"/>
    <w:rsid w:val="00EA11B9"/>
    <w:rsid w:val="00EA52B7"/>
    <w:rsid w:val="00EC1376"/>
    <w:rsid w:val="00EC76DE"/>
    <w:rsid w:val="00EF2133"/>
    <w:rsid w:val="00EF218C"/>
    <w:rsid w:val="00EF7A4C"/>
    <w:rsid w:val="00F26726"/>
    <w:rsid w:val="00F26CF5"/>
    <w:rsid w:val="00F5688C"/>
    <w:rsid w:val="00F7027A"/>
    <w:rsid w:val="00F72270"/>
    <w:rsid w:val="00F72342"/>
    <w:rsid w:val="00F949E8"/>
    <w:rsid w:val="00FA59F3"/>
    <w:rsid w:val="00FB4820"/>
    <w:rsid w:val="00FC239C"/>
    <w:rsid w:val="00FE0AD1"/>
    <w:rsid w:val="00FE1F74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495-2022-%D0%B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A357-54BA-4E86-BA6E-90028988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2023-03-22T14:21:00Z</dcterms:created>
  <dcterms:modified xsi:type="dcterms:W3CDTF">2023-03-24T07:36:00Z</dcterms:modified>
</cp:coreProperties>
</file>