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A" w:rsidRPr="00EC57C7" w:rsidRDefault="00EC57C7" w:rsidP="005778E8">
      <w:pPr>
        <w:spacing w:after="0" w:line="240" w:lineRule="auto"/>
        <w:jc w:val="right"/>
        <w:rPr>
          <w:rFonts w:ascii="Times New Roman" w:hAnsi="Times New Roman" w:cs="Times New Roman"/>
          <w:b/>
          <w:sz w:val="24"/>
          <w:szCs w:val="24"/>
        </w:rPr>
      </w:pPr>
      <w:r w:rsidRPr="00EC57C7">
        <w:rPr>
          <w:rFonts w:ascii="Times New Roman" w:hAnsi="Times New Roman" w:cs="Times New Roman"/>
          <w:b/>
          <w:sz w:val="24"/>
          <w:szCs w:val="24"/>
        </w:rPr>
        <w:t>ДОДАТОК 3</w:t>
      </w:r>
    </w:p>
    <w:p w:rsidR="00EC57C7" w:rsidRPr="00EC57C7" w:rsidRDefault="00EC57C7" w:rsidP="005778E8">
      <w:pPr>
        <w:spacing w:after="0" w:line="240" w:lineRule="auto"/>
        <w:jc w:val="right"/>
        <w:rPr>
          <w:rFonts w:ascii="Times New Roman" w:eastAsia="Times New Roman" w:hAnsi="Times New Roman" w:cs="Times New Roman"/>
          <w:bCs/>
          <w:i/>
          <w:sz w:val="24"/>
          <w:szCs w:val="24"/>
        </w:rPr>
      </w:pPr>
      <w:r w:rsidRPr="00EC57C7">
        <w:rPr>
          <w:rFonts w:ascii="Times New Roman" w:eastAsia="Times New Roman" w:hAnsi="Times New Roman" w:cs="Times New Roman"/>
          <w:bCs/>
          <w:i/>
          <w:sz w:val="24"/>
          <w:szCs w:val="24"/>
        </w:rPr>
        <w:t>до тендерної документації</w:t>
      </w:r>
    </w:p>
    <w:p w:rsidR="00EC57C7" w:rsidRPr="00EC57C7" w:rsidRDefault="00EC57C7" w:rsidP="005778E8">
      <w:pPr>
        <w:spacing w:after="0" w:line="240" w:lineRule="auto"/>
        <w:jc w:val="right"/>
        <w:rPr>
          <w:rFonts w:ascii="Times New Roman" w:hAnsi="Times New Roman" w:cs="Times New Roman"/>
          <w:b/>
          <w:sz w:val="24"/>
          <w:szCs w:val="24"/>
        </w:rPr>
      </w:pPr>
    </w:p>
    <w:p w:rsidR="001847E9" w:rsidRPr="00EC57C7" w:rsidRDefault="00EC57C7" w:rsidP="005778E8">
      <w:pPr>
        <w:spacing w:after="0" w:line="240" w:lineRule="auto"/>
        <w:jc w:val="right"/>
        <w:rPr>
          <w:rFonts w:ascii="Times New Roman" w:hAnsi="Times New Roman" w:cs="Times New Roman"/>
          <w:b/>
          <w:sz w:val="24"/>
          <w:szCs w:val="24"/>
        </w:rPr>
      </w:pPr>
      <w:r w:rsidRPr="00EC57C7">
        <w:rPr>
          <w:rFonts w:ascii="Times New Roman" w:hAnsi="Times New Roman" w:cs="Times New Roman"/>
          <w:b/>
          <w:sz w:val="24"/>
          <w:szCs w:val="24"/>
        </w:rPr>
        <w:t>Проє</w:t>
      </w:r>
      <w:r w:rsidR="001847E9" w:rsidRPr="00EC57C7">
        <w:rPr>
          <w:rFonts w:ascii="Times New Roman" w:hAnsi="Times New Roman" w:cs="Times New Roman"/>
          <w:b/>
          <w:sz w:val="24"/>
          <w:szCs w:val="24"/>
        </w:rPr>
        <w:t>кт договору</w:t>
      </w:r>
    </w:p>
    <w:p w:rsidR="001847E9" w:rsidRPr="00EC57C7"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EC57C7"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Договір №_____________</w:t>
      </w:r>
    </w:p>
    <w:p w:rsidR="001847E9" w:rsidRPr="00EC57C7" w:rsidRDefault="001847E9" w:rsidP="005778E8">
      <w:pPr>
        <w:spacing w:after="0" w:line="240" w:lineRule="auto"/>
        <w:jc w:val="center"/>
        <w:rPr>
          <w:rFonts w:ascii="Times New Roman" w:eastAsia="Times New Roman" w:hAnsi="Times New Roman" w:cs="Times New Roman"/>
          <w:sz w:val="24"/>
          <w:szCs w:val="24"/>
        </w:rPr>
      </w:pP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p>
    <w:p w:rsidR="001847E9" w:rsidRPr="00EC57C7" w:rsidRDefault="00393AC9" w:rsidP="005778E8">
      <w:pPr>
        <w:tabs>
          <w:tab w:val="right" w:pos="10080"/>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     м. </w:t>
      </w:r>
      <w:r w:rsidR="00F62E6A" w:rsidRPr="00EC57C7">
        <w:rPr>
          <w:rFonts w:ascii="Times New Roman" w:eastAsia="Times New Roman" w:hAnsi="Times New Roman" w:cs="Times New Roman"/>
          <w:sz w:val="24"/>
          <w:szCs w:val="24"/>
        </w:rPr>
        <w:t>Дрогобич</w:t>
      </w:r>
      <w:r w:rsidR="00EC57C7" w:rsidRPr="00EC57C7">
        <w:rPr>
          <w:rFonts w:ascii="Times New Roman" w:eastAsia="Times New Roman" w:hAnsi="Times New Roman" w:cs="Times New Roman"/>
          <w:sz w:val="24"/>
          <w:szCs w:val="24"/>
        </w:rPr>
        <w:t xml:space="preserve">                                                                                    </w:t>
      </w:r>
      <w:r w:rsidR="001847E9" w:rsidRPr="00EC57C7">
        <w:rPr>
          <w:rFonts w:ascii="Times New Roman" w:eastAsia="Times New Roman" w:hAnsi="Times New Roman" w:cs="Times New Roman"/>
          <w:sz w:val="24"/>
          <w:szCs w:val="24"/>
        </w:rPr>
        <w:t>____ ___________ 202</w:t>
      </w:r>
      <w:r w:rsidR="00657CA5" w:rsidRPr="00EC57C7">
        <w:rPr>
          <w:rFonts w:ascii="Times New Roman" w:eastAsia="Times New Roman" w:hAnsi="Times New Roman" w:cs="Times New Roman"/>
          <w:sz w:val="24"/>
          <w:szCs w:val="24"/>
        </w:rPr>
        <w:t>3</w:t>
      </w:r>
      <w:r w:rsidR="001847E9" w:rsidRPr="00EC57C7">
        <w:rPr>
          <w:rFonts w:ascii="Times New Roman" w:eastAsia="Times New Roman" w:hAnsi="Times New Roman" w:cs="Times New Roman"/>
          <w:sz w:val="24"/>
          <w:szCs w:val="24"/>
        </w:rPr>
        <w:t xml:space="preserve"> р.</w:t>
      </w:r>
    </w:p>
    <w:p w:rsidR="001847E9" w:rsidRPr="00EC57C7" w:rsidRDefault="001847E9" w:rsidP="005778E8">
      <w:pPr>
        <w:tabs>
          <w:tab w:val="right" w:pos="10080"/>
        </w:tabs>
        <w:spacing w:after="0" w:line="240" w:lineRule="auto"/>
        <w:jc w:val="both"/>
        <w:rPr>
          <w:rFonts w:ascii="Times New Roman" w:eastAsia="Times New Roman" w:hAnsi="Times New Roman" w:cs="Times New Roman"/>
          <w:sz w:val="24"/>
          <w:szCs w:val="24"/>
        </w:rPr>
      </w:pPr>
    </w:p>
    <w:p w:rsidR="005778E8" w:rsidRPr="00EC57C7" w:rsidRDefault="00C47AAD"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C47AAD">
        <w:rPr>
          <w:rFonts w:ascii="Times New Roman" w:hAnsi="Times New Roman" w:cs="Times New Roman"/>
          <w:b/>
          <w:sz w:val="24"/>
          <w:szCs w:val="24"/>
        </w:rPr>
        <w:t>Комунальне некомерційне підприємство «Дрогобицька міська лікарня №1» Дрогобицької міської ради,</w:t>
      </w:r>
      <w:r w:rsidRPr="00C47AAD">
        <w:rPr>
          <w:rFonts w:ascii="Times New Roman" w:hAnsi="Times New Roman" w:cs="Times New Roman"/>
          <w:sz w:val="24"/>
          <w:szCs w:val="24"/>
        </w:rPr>
        <w:t xml:space="preserve"> в особі </w:t>
      </w:r>
      <w:r w:rsidR="00304A72" w:rsidRPr="00304A72">
        <w:rPr>
          <w:rFonts w:ascii="Times New Roman" w:hAnsi="Times New Roman" w:cs="Times New Roman"/>
          <w:sz w:val="24"/>
          <w:szCs w:val="24"/>
        </w:rPr>
        <w:t>________________________________________</w:t>
      </w:r>
      <w:r w:rsidR="00304A72" w:rsidRPr="003C6254">
        <w:rPr>
          <w:rFonts w:ascii="Times New Roman" w:hAnsi="Times New Roman" w:cs="Times New Roman"/>
          <w:sz w:val="24"/>
          <w:szCs w:val="24"/>
        </w:rPr>
        <w:t>_</w:t>
      </w:r>
      <w:r w:rsidRPr="00C47AAD">
        <w:rPr>
          <w:rFonts w:ascii="Times New Roman" w:hAnsi="Times New Roman" w:cs="Times New Roman"/>
          <w:sz w:val="24"/>
          <w:szCs w:val="24"/>
        </w:rPr>
        <w:t>, що діє на підставі Статуту</w:t>
      </w:r>
      <w:r w:rsidR="005778E8" w:rsidRPr="00C47AAD">
        <w:rPr>
          <w:rFonts w:ascii="Times New Roman" w:eastAsia="Calibri" w:hAnsi="Times New Roman" w:cs="Times New Roman"/>
          <w:sz w:val="24"/>
          <w:szCs w:val="24"/>
          <w:lang w:eastAsia="ru-RU"/>
        </w:rPr>
        <w:t xml:space="preserve"> </w:t>
      </w:r>
      <w:r w:rsidR="005778E8" w:rsidRPr="00EC57C7">
        <w:rPr>
          <w:rFonts w:ascii="Times New Roman" w:eastAsia="Calibri" w:hAnsi="Times New Roman" w:cs="Times New Roman"/>
          <w:sz w:val="24"/>
          <w:szCs w:val="24"/>
          <w:lang w:eastAsia="ru-RU"/>
        </w:rPr>
        <w:t>(далі - Покупець), з однієї сторони, та</w:t>
      </w:r>
    </w:p>
    <w:p w:rsidR="00EC57C7" w:rsidRPr="00EC57C7" w:rsidRDefault="005778E8" w:rsidP="00EC57C7">
      <w:pPr>
        <w:spacing w:after="0" w:line="240" w:lineRule="auto"/>
        <w:jc w:val="both"/>
        <w:rPr>
          <w:rFonts w:ascii="Times New Roman" w:hAnsi="Times New Roman" w:cs="Times New Roman"/>
          <w:sz w:val="24"/>
          <w:szCs w:val="24"/>
        </w:rPr>
      </w:pPr>
      <w:r w:rsidRPr="00EC57C7">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EC57C7">
        <w:rPr>
          <w:rFonts w:ascii="Times New Roman" w:eastAsia="Calibri" w:hAnsi="Times New Roman" w:cs="Times New Roman"/>
          <w:sz w:val="24"/>
          <w:szCs w:val="24"/>
          <w:lang w:eastAsia="ru-RU"/>
        </w:rPr>
        <w:t xml:space="preserve"> (далі – </w:t>
      </w:r>
      <w:r w:rsidR="00042D09" w:rsidRPr="00EC57C7">
        <w:rPr>
          <w:rFonts w:ascii="Times New Roman" w:eastAsia="Calibri" w:hAnsi="Times New Roman" w:cs="Times New Roman"/>
          <w:sz w:val="24"/>
          <w:szCs w:val="24"/>
          <w:lang w:eastAsia="ru-RU"/>
        </w:rPr>
        <w:t>Постачальник</w:t>
      </w:r>
      <w:r w:rsidRPr="00EC57C7">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w:t>
      </w:r>
      <w:r w:rsidR="00EC57C7" w:rsidRPr="00EC57C7">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EC57C7" w:rsidRPr="00EC57C7" w:rsidRDefault="00EC57C7" w:rsidP="00EC57C7">
      <w:pPr>
        <w:spacing w:after="0" w:line="240" w:lineRule="auto"/>
        <w:jc w:val="both"/>
        <w:rPr>
          <w:rFonts w:ascii="Times New Roman" w:hAnsi="Times New Roman" w:cs="Times New Roman"/>
          <w:b/>
          <w:sz w:val="24"/>
          <w:szCs w:val="24"/>
        </w:rPr>
      </w:pPr>
    </w:p>
    <w:p w:rsidR="002279D5" w:rsidRPr="00F62E6A" w:rsidRDefault="002279D5" w:rsidP="002279D5">
      <w:pPr>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І. Предмет договору</w:t>
      </w:r>
    </w:p>
    <w:p w:rsidR="002279D5" w:rsidRPr="00F62E6A" w:rsidRDefault="002279D5" w:rsidP="002279D5">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1.1. Постачальник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F62E6A">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2279D5" w:rsidRPr="00F62E6A" w:rsidRDefault="002279D5" w:rsidP="002279D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1.2. Товаром за даним Договором є:</w:t>
      </w:r>
      <w:r w:rsidRPr="00F62E6A">
        <w:rPr>
          <w:rFonts w:ascii="Times New Roman" w:eastAsia="Times New Roman" w:hAnsi="Times New Roman" w:cs="Times New Roman"/>
          <w:b/>
          <w:sz w:val="24"/>
          <w:szCs w:val="24"/>
          <w:lang w:eastAsia="ru-RU"/>
        </w:rPr>
        <w:t xml:space="preserve"> </w:t>
      </w:r>
      <w:r w:rsidR="003C6254" w:rsidRPr="003C6254">
        <w:rPr>
          <w:rFonts w:ascii="Times New Roman" w:eastAsia="Times New Roman" w:hAnsi="Times New Roman" w:cs="Times New Roman"/>
          <w:b/>
          <w:sz w:val="24"/>
          <w:szCs w:val="24"/>
          <w:shd w:val="clear" w:color="auto" w:fill="FFFFFF"/>
          <w:lang w:val="ru-RU" w:eastAsia="ru-RU"/>
        </w:rPr>
        <w:t>___________________</w:t>
      </w:r>
      <w:r w:rsidRPr="00F62E6A">
        <w:rPr>
          <w:rFonts w:ascii="Times New Roman" w:eastAsia="Times New Roman" w:hAnsi="Times New Roman" w:cs="Times New Roman"/>
          <w:b/>
          <w:sz w:val="24"/>
          <w:szCs w:val="24"/>
          <w:shd w:val="clear" w:color="auto" w:fill="FFFFFF"/>
          <w:lang w:eastAsia="ru-RU"/>
        </w:rPr>
        <w:t xml:space="preserve"> </w:t>
      </w:r>
      <w:r w:rsidRPr="00F62E6A">
        <w:rPr>
          <w:rFonts w:ascii="Times New Roman" w:eastAsia="Times New Roman" w:hAnsi="Times New Roman" w:cs="Times New Roman"/>
          <w:sz w:val="24"/>
          <w:szCs w:val="24"/>
          <w:lang w:eastAsia="ru-RU"/>
        </w:rPr>
        <w:t>(надалі — товар).</w:t>
      </w:r>
    </w:p>
    <w:p w:rsidR="002279D5" w:rsidRPr="00F62E6A" w:rsidRDefault="002279D5" w:rsidP="002279D5">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rsidR="002279D5" w:rsidRPr="00F62E6A" w:rsidRDefault="002279D5" w:rsidP="002279D5">
      <w:pPr>
        <w:widowControl w:val="0"/>
        <w:tabs>
          <w:tab w:val="left" w:pos="790"/>
        </w:tabs>
        <w:spacing w:after="0" w:line="240" w:lineRule="auto"/>
        <w:jc w:val="both"/>
        <w:rPr>
          <w:rFonts w:ascii="Times New Roman" w:eastAsia="Times New Roman" w:hAnsi="Times New Roman" w:cs="Times New Roman"/>
          <w:sz w:val="24"/>
          <w:szCs w:val="24"/>
          <w:lang w:eastAsia="ru-RU"/>
        </w:rPr>
      </w:pPr>
    </w:p>
    <w:p w:rsidR="002279D5" w:rsidRPr="00F62E6A" w:rsidRDefault="002279D5" w:rsidP="002279D5">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F62E6A">
        <w:rPr>
          <w:rFonts w:ascii="Times New Roman" w:eastAsia="Times New Roman" w:hAnsi="Times New Roman" w:cs="Times New Roman"/>
          <w:b/>
          <w:sz w:val="24"/>
          <w:szCs w:val="24"/>
          <w:lang w:eastAsia="ru-RU"/>
        </w:rPr>
        <w:t>II. Якість товарів</w:t>
      </w:r>
      <w:bookmarkEnd w:id="0"/>
    </w:p>
    <w:p w:rsidR="002279D5" w:rsidRPr="00F62E6A" w:rsidRDefault="002279D5" w:rsidP="002279D5">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2279D5" w:rsidRPr="00F62E6A" w:rsidRDefault="002279D5" w:rsidP="002279D5">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Товар, запропонований </w:t>
      </w:r>
      <w:bookmarkStart w:id="1" w:name="_Hlk94620657"/>
      <w:r w:rsidRPr="00F62E6A">
        <w:rPr>
          <w:rFonts w:ascii="Times New Roman" w:eastAsia="Times New Roman" w:hAnsi="Times New Roman" w:cs="Times New Roman"/>
          <w:sz w:val="24"/>
          <w:szCs w:val="24"/>
          <w:lang w:eastAsia="ru-RU"/>
        </w:rPr>
        <w:t>Постачальником</w:t>
      </w:r>
      <w:bookmarkEnd w:id="1"/>
      <w:r w:rsidRPr="00F62E6A">
        <w:rPr>
          <w:rFonts w:ascii="Times New Roman" w:eastAsia="Times New Roman" w:hAnsi="Times New Roman" w:cs="Times New Roman"/>
          <w:sz w:val="24"/>
          <w:szCs w:val="24"/>
          <w:lang w:eastAsia="ru-RU"/>
        </w:rPr>
        <w:t xml:space="preserve">, повинен бути внесений до </w:t>
      </w:r>
      <w:r w:rsidRPr="00F62E6A">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F62E6A">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2279D5" w:rsidRPr="00F62E6A" w:rsidRDefault="002279D5" w:rsidP="002279D5">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
          <w:iCs/>
          <w:sz w:val="24"/>
          <w:szCs w:val="24"/>
          <w:lang w:eastAsia="ru-RU"/>
        </w:rPr>
        <w:t xml:space="preserve"> </w:t>
      </w:r>
      <w:r w:rsidRPr="00F62E6A">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F62E6A">
        <w:rPr>
          <w:rFonts w:ascii="Times New Roman" w:eastAsia="Times New Roman" w:hAnsi="Times New Roman" w:cs="Times New Roman"/>
          <w:sz w:val="24"/>
          <w:szCs w:val="24"/>
          <w:lang w:eastAsia="ru-RU"/>
        </w:rPr>
        <w:t xml:space="preserve">, № 754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 для діагностики invitro»</w:t>
      </w:r>
      <w:r w:rsidRPr="00F62E6A">
        <w:rPr>
          <w:rFonts w:ascii="Times New Roman" w:eastAsia="Times New Roman" w:hAnsi="Times New Roman" w:cs="Times New Roman"/>
          <w:sz w:val="24"/>
          <w:szCs w:val="24"/>
          <w:lang w:eastAsia="ru-RU"/>
        </w:rPr>
        <w:t xml:space="preserve">, </w:t>
      </w:r>
      <w:r w:rsidRPr="00F62E6A">
        <w:rPr>
          <w:rFonts w:ascii="Times New Roman" w:eastAsia="Times New Roman" w:hAnsi="Times New Roman" w:cs="Times New Roman"/>
          <w:sz w:val="24"/>
          <w:szCs w:val="24"/>
          <w:lang w:eastAsia="ru-RU"/>
        </w:rPr>
        <w:br/>
        <w:t xml:space="preserve">№ 755 </w:t>
      </w:r>
      <w:r w:rsidRPr="00F62E6A">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F62E6A">
        <w:rPr>
          <w:rFonts w:ascii="Times New Roman" w:eastAsia="Times New Roman" w:hAnsi="Times New Roman" w:cs="Times New Roman"/>
          <w:sz w:val="24"/>
          <w:szCs w:val="24"/>
          <w:lang w:eastAsia="ru-RU"/>
        </w:rPr>
        <w:t xml:space="preserve">, якщо Постачальником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F62E6A">
        <w:rPr>
          <w:rFonts w:ascii="Times New Roman" w:eastAsia="Times New Roman" w:hAnsi="Times New Roman" w:cs="Times New Roman"/>
          <w:b/>
          <w:bCs/>
          <w:sz w:val="24"/>
          <w:szCs w:val="24"/>
          <w:lang w:eastAsia="ru-RU"/>
        </w:rPr>
        <w:t>як п’ять років</w:t>
      </w:r>
      <w:r w:rsidRPr="00F62E6A">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rsidR="002279D5" w:rsidRPr="00F62E6A" w:rsidRDefault="002279D5" w:rsidP="002279D5">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F62E6A">
        <w:rPr>
          <w:rFonts w:ascii="Times New Roman" w:eastAsia="Times New Roman" w:hAnsi="Times New Roman" w:cs="Times New Roman"/>
          <w:sz w:val="24"/>
          <w:szCs w:val="24"/>
          <w:lang w:eastAsia="ru-RU"/>
        </w:rPr>
        <w:t xml:space="preserve">На підтвердження якості на момент поставки товару Постачальник повинен надати копії одного з таких документів: </w:t>
      </w:r>
      <w:r w:rsidRPr="00F62E6A">
        <w:rPr>
          <w:rFonts w:ascii="Times New Roman" w:eastAsia="Times New Roman" w:hAnsi="Times New Roman" w:cs="Times New Roman"/>
          <w:i/>
          <w:iCs/>
          <w:sz w:val="24"/>
          <w:szCs w:val="24"/>
          <w:lang w:eastAsia="ru-RU"/>
        </w:rPr>
        <w:t xml:space="preserve">завірену копію Декларації або копію документів, </w:t>
      </w:r>
      <w:r w:rsidRPr="00F62E6A">
        <w:rPr>
          <w:rFonts w:ascii="Times New Roman" w:eastAsia="Times New Roman" w:hAnsi="Times New Roman" w:cs="Times New Roman"/>
          <w:i/>
          <w:iCs/>
          <w:sz w:val="24"/>
          <w:szCs w:val="24"/>
          <w:lang w:eastAsia="ru-RU"/>
        </w:rPr>
        <w:lastRenderedPageBreak/>
        <w:t>що підтверджують можливість  введення в обіг та/або експлуатацію (застосування) Товару.</w:t>
      </w:r>
    </w:p>
    <w:p w:rsidR="002279D5" w:rsidRPr="00F62E6A" w:rsidRDefault="002279D5" w:rsidP="002279D5">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rsidR="002279D5" w:rsidRPr="00F62E6A" w:rsidRDefault="002279D5" w:rsidP="002279D5">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Гарантійний термін обслуговування не менше __________ місяців, з дати введення в експлуатацію Товару.</w:t>
      </w:r>
    </w:p>
    <w:p w:rsidR="002279D5" w:rsidRPr="00F62E6A" w:rsidRDefault="002279D5" w:rsidP="002279D5">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III. Ціна договору</w:t>
      </w:r>
      <w:bookmarkEnd w:id="2"/>
    </w:p>
    <w:p w:rsidR="002279D5" w:rsidRPr="00F62E6A" w:rsidRDefault="002279D5" w:rsidP="002279D5">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Cs/>
          <w:sz w:val="24"/>
          <w:szCs w:val="24"/>
          <w:shd w:val="clear" w:color="auto" w:fill="FFFFFF"/>
          <w:lang w:eastAsia="ru-RU"/>
        </w:rPr>
        <w:t>Загальна вартість договору:</w:t>
      </w:r>
      <w:r w:rsidRPr="00F62E6A">
        <w:rPr>
          <w:rFonts w:ascii="Times New Roman" w:eastAsia="Times New Roman" w:hAnsi="Times New Roman" w:cs="Times New Roman"/>
          <w:b/>
          <w:bCs/>
          <w:i/>
          <w:iCs/>
          <w:sz w:val="24"/>
          <w:szCs w:val="24"/>
          <w:shd w:val="clear" w:color="auto" w:fill="FFFFFF"/>
          <w:lang w:eastAsia="ru-RU"/>
        </w:rPr>
        <w:t xml:space="preserve"> </w:t>
      </w:r>
      <w:r w:rsidRPr="00F62E6A">
        <w:rPr>
          <w:rFonts w:ascii="Times New Roman" w:eastAsia="Times New Roman" w:hAnsi="Times New Roman" w:cs="Times New Roman"/>
          <w:b/>
          <w:bCs/>
          <w:sz w:val="24"/>
          <w:szCs w:val="24"/>
          <w:lang w:eastAsia="ru-RU"/>
        </w:rPr>
        <w:t xml:space="preserve">___________________________ грн. з ПДВ </w:t>
      </w:r>
      <w:r w:rsidRPr="00F62E6A">
        <w:rPr>
          <w:rFonts w:ascii="Times New Roman" w:eastAsia="Times New Roman" w:hAnsi="Times New Roman" w:cs="Times New Roman"/>
          <w:bCs/>
          <w:sz w:val="24"/>
          <w:szCs w:val="24"/>
          <w:lang w:eastAsia="ru-RU"/>
        </w:rPr>
        <w:t>(</w:t>
      </w:r>
      <w:r w:rsidRPr="00F62E6A">
        <w:rPr>
          <w:rFonts w:ascii="Times New Roman" w:eastAsia="Times New Roman" w:hAnsi="Times New Roman" w:cs="Times New Roman"/>
          <w:bCs/>
          <w:i/>
          <w:sz w:val="24"/>
          <w:szCs w:val="24"/>
          <w:lang w:eastAsia="ru-RU"/>
        </w:rPr>
        <w:t>вказати прописом)</w:t>
      </w:r>
      <w:r w:rsidRPr="00F62E6A">
        <w:rPr>
          <w:rFonts w:ascii="Times New Roman" w:eastAsia="Times New Roman" w:hAnsi="Times New Roman" w:cs="Times New Roman"/>
          <w:b/>
          <w:sz w:val="24"/>
          <w:szCs w:val="24"/>
          <w:lang w:eastAsia="ru-RU"/>
        </w:rPr>
        <w:t xml:space="preserve"> у т.ч. ПДВ</w:t>
      </w:r>
      <w:r w:rsidRPr="00F62E6A">
        <w:rPr>
          <w:rFonts w:ascii="Times New Roman" w:eastAsia="Times New Roman" w:hAnsi="Times New Roman" w:cs="Times New Roman"/>
          <w:sz w:val="24"/>
          <w:szCs w:val="24"/>
          <w:lang w:eastAsia="ru-RU"/>
        </w:rPr>
        <w:t xml:space="preserve"> - ________.</w:t>
      </w:r>
    </w:p>
    <w:p w:rsidR="002279D5" w:rsidRPr="00F62E6A" w:rsidRDefault="002279D5" w:rsidP="002279D5">
      <w:pPr>
        <w:tabs>
          <w:tab w:val="left" w:pos="545"/>
        </w:tabs>
        <w:spacing w:after="0" w:line="240" w:lineRule="auto"/>
        <w:jc w:val="both"/>
        <w:rPr>
          <w:rFonts w:ascii="Times New Roman" w:eastAsia="Times New Roman" w:hAnsi="Times New Roman" w:cs="Times New Roman"/>
          <w:sz w:val="24"/>
          <w:szCs w:val="24"/>
          <w:lang w:eastAsia="ru-RU"/>
        </w:rPr>
      </w:pPr>
      <w:bookmarkStart w:id="3" w:name="bookmark3"/>
      <w:r w:rsidRPr="00F62E6A">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2279D5" w:rsidRPr="00F62E6A" w:rsidRDefault="002279D5" w:rsidP="002279D5">
      <w:pPr>
        <w:spacing w:after="0" w:line="240" w:lineRule="auto"/>
        <w:jc w:val="both"/>
        <w:rPr>
          <w:rFonts w:ascii="Times New Roman" w:eastAsia="Times New Roman" w:hAnsi="Times New Roman" w:cs="Times New Roman"/>
          <w:b/>
          <w:bCs/>
          <w:sz w:val="24"/>
          <w:szCs w:val="24"/>
          <w:shd w:val="clear" w:color="auto" w:fill="FFFFFF"/>
          <w:lang w:eastAsia="ru-RU"/>
        </w:rPr>
      </w:pPr>
      <w:r w:rsidRPr="00F62E6A">
        <w:rPr>
          <w:rFonts w:ascii="Times New Roman" w:eastAsia="Times New Roman" w:hAnsi="Times New Roman" w:cs="Times New Roman"/>
          <w:b/>
          <w:bCs/>
          <w:sz w:val="24"/>
          <w:szCs w:val="24"/>
          <w:shd w:val="clear" w:color="auto" w:fill="FFFFFF"/>
          <w:lang w:eastAsia="ru-RU"/>
        </w:rPr>
        <w:t xml:space="preserve">Цз - Цд ( Кмб/Кфд), </w:t>
      </w:r>
    </w:p>
    <w:p w:rsidR="002279D5" w:rsidRPr="00F62E6A" w:rsidRDefault="002279D5" w:rsidP="002279D5">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де Цз - максимально припустима зміна ціни товару; Цд - ціна товару за Договором;</w:t>
      </w:r>
    </w:p>
    <w:p w:rsidR="002279D5" w:rsidRPr="00F62E6A" w:rsidRDefault="002279D5" w:rsidP="002279D5">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Кмб – курс НБУ гривні до ЄВРО на дату реалізації товару;</w:t>
      </w:r>
    </w:p>
    <w:p w:rsidR="002279D5" w:rsidRPr="00F62E6A" w:rsidRDefault="002279D5" w:rsidP="002279D5">
      <w:pPr>
        <w:keepNext/>
        <w:keepLines/>
        <w:spacing w:after="0" w:line="240" w:lineRule="auto"/>
        <w:jc w:val="both"/>
        <w:outlineLvl w:val="1"/>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Кфд - курс НБУ до ЄВРО, що зафіксований в договорі.</w:t>
      </w:r>
    </w:p>
    <w:p w:rsidR="002279D5" w:rsidRPr="00F62E6A" w:rsidRDefault="002279D5" w:rsidP="002279D5">
      <w:pPr>
        <w:keepNext/>
        <w:keepLines/>
        <w:spacing w:after="0" w:line="240" w:lineRule="auto"/>
        <w:jc w:val="center"/>
        <w:outlineLvl w:val="1"/>
        <w:rPr>
          <w:rFonts w:ascii="Times New Roman" w:eastAsia="Times New Roman" w:hAnsi="Times New Roman" w:cs="Times New Roman"/>
          <w:b/>
          <w:sz w:val="24"/>
          <w:szCs w:val="24"/>
          <w:lang w:eastAsia="ru-RU"/>
        </w:rPr>
      </w:pPr>
    </w:p>
    <w:p w:rsidR="002279D5" w:rsidRPr="00F62E6A" w:rsidRDefault="002279D5" w:rsidP="002279D5">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IV. Порядок здійснення оплати</w:t>
      </w:r>
      <w:bookmarkEnd w:id="3"/>
    </w:p>
    <w:p w:rsidR="002279D5" w:rsidRPr="00F62E6A" w:rsidRDefault="002279D5" w:rsidP="002279D5">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4.1. 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2279D5" w:rsidRDefault="002279D5" w:rsidP="002279D5">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4.2.</w:t>
      </w:r>
      <w:r w:rsidRPr="00CE430D">
        <w:rPr>
          <w:rFonts w:ascii="Times New Roman" w:eastAsia="Calibri" w:hAnsi="Times New Roman" w:cs="Times New Roman"/>
          <w:sz w:val="24"/>
          <w:szCs w:val="24"/>
        </w:rPr>
        <w:t xml:space="preserve"> </w:t>
      </w:r>
      <w:r>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2279D5" w:rsidRPr="00F62E6A" w:rsidRDefault="002279D5" w:rsidP="002279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F62E6A">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Постачальника. </w:t>
      </w:r>
    </w:p>
    <w:p w:rsidR="002279D5" w:rsidRPr="00F62E6A" w:rsidRDefault="002279D5" w:rsidP="002279D5">
      <w:pPr>
        <w:keepNext/>
        <w:keepLines/>
        <w:spacing w:after="0" w:line="240" w:lineRule="auto"/>
        <w:outlineLvl w:val="1"/>
        <w:rPr>
          <w:rFonts w:ascii="Times New Roman" w:eastAsia="Times New Roman" w:hAnsi="Times New Roman" w:cs="Times New Roman"/>
          <w:b/>
          <w:sz w:val="24"/>
          <w:szCs w:val="24"/>
          <w:lang w:eastAsia="ru-RU"/>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 Поставка товарів</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5.1. Строк поставки товару</w:t>
      </w:r>
      <w:r w:rsidRPr="00C47AAD">
        <w:rPr>
          <w:rFonts w:ascii="Times New Roman" w:hAnsi="Times New Roman" w:cs="Times New Roman"/>
          <w:sz w:val="24"/>
          <w:szCs w:val="24"/>
        </w:rPr>
        <w:t>: до 31.12.2023</w:t>
      </w:r>
      <w:r w:rsidR="00C47AAD">
        <w:rPr>
          <w:rFonts w:ascii="Times New Roman" w:hAnsi="Times New Roman" w:cs="Times New Roman"/>
          <w:sz w:val="24"/>
          <w:szCs w:val="24"/>
        </w:rPr>
        <w:t>р.</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5.2. Порядок здійснення поставки: поставка Товару здійснюється протягом 5 днів після отримання заявки від Покупця, але у строк, що не перевищує строку котрий встановлений в п.5.1. Розділу V Договору.</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hAnsi="Times New Roman" w:cs="Times New Roman"/>
          <w:sz w:val="24"/>
          <w:szCs w:val="24"/>
        </w:rPr>
        <w:t xml:space="preserve">5.3. </w:t>
      </w:r>
      <w:r w:rsidRPr="00EC57C7">
        <w:rPr>
          <w:rFonts w:ascii="Times New Roman" w:eastAsia="Times New Roman" w:hAnsi="Times New Roman" w:cs="Times New Roman"/>
          <w:sz w:val="24"/>
          <w:szCs w:val="24"/>
        </w:rPr>
        <w:t xml:space="preserve">Місце поставки (передачі) товарів: </w:t>
      </w:r>
      <w:r w:rsidR="00C47AAD">
        <w:rPr>
          <w:rFonts w:ascii="Times New Roman" w:eastAsia="Times New Roman" w:hAnsi="Times New Roman" w:cs="Times New Roman"/>
          <w:sz w:val="24"/>
          <w:szCs w:val="24"/>
        </w:rPr>
        <w:t>82100, Львівська область, місто Дрогобич, вулиця Шептицького,9</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5.4. </w:t>
      </w:r>
      <w:r w:rsidRPr="00EC57C7">
        <w:rPr>
          <w:rFonts w:ascii="Times New Roman" w:hAnsi="Times New Roman" w:cs="Times New Roman"/>
          <w:sz w:val="24"/>
          <w:szCs w:val="24"/>
        </w:rPr>
        <w:t>При поставці товару Постачальник повинен надавати інструкцію з використання засобів, викладену українською мовою та затверджені належним чином сертифікати якості.</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5.5. Поставка товару здійснюється Постачальником.</w:t>
      </w:r>
    </w:p>
    <w:p w:rsidR="00EC57C7" w:rsidRPr="00EC57C7" w:rsidRDefault="00EC57C7" w:rsidP="00EC57C7">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EC57C7">
        <w:rPr>
          <w:rFonts w:ascii="Times New Roman" w:hAnsi="Times New Roman" w:cs="Times New Roman"/>
        </w:rPr>
        <w:t>5.6. Пр</w:t>
      </w:r>
      <w:r w:rsidRPr="00EC57C7">
        <w:rPr>
          <w:rFonts w:ascii="Times New Roman" w:eastAsia="Times New Roman" w:hAnsi="Times New Roman" w:cs="Times New Roman"/>
        </w:rPr>
        <w:t>и поставці товару Постачальником повинна додержуватись цілісність стандартної упаковки з необхідними реквізитами виробника.</w:t>
      </w:r>
    </w:p>
    <w:p w:rsidR="00EC57C7" w:rsidRPr="00EC57C7" w:rsidRDefault="00EC57C7" w:rsidP="00EC57C7">
      <w:pPr>
        <w:spacing w:after="0" w:line="240" w:lineRule="auto"/>
        <w:jc w:val="both"/>
        <w:rPr>
          <w:rFonts w:ascii="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 Права та обов'язки сторін</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 Покупець зобов'язаний:</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6.1.1. Своєчасно та в повному обсязі сплачувати за поставлені товари;</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EC57C7" w:rsidRPr="00EC57C7" w:rsidRDefault="00EC57C7" w:rsidP="00EC57C7">
      <w:pPr>
        <w:widowControl w:val="0"/>
        <w:numPr>
          <w:ilvl w:val="0"/>
          <w:numId w:val="12"/>
        </w:numPr>
        <w:tabs>
          <w:tab w:val="left" w:pos="762"/>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Покупець має право:</w:t>
      </w:r>
    </w:p>
    <w:p w:rsidR="00EC57C7" w:rsidRPr="00EC57C7" w:rsidRDefault="00EC57C7" w:rsidP="00EC57C7">
      <w:pPr>
        <w:widowControl w:val="0"/>
        <w:numPr>
          <w:ilvl w:val="0"/>
          <w:numId w:val="13"/>
        </w:numPr>
        <w:tabs>
          <w:tab w:val="left" w:pos="709"/>
        </w:tabs>
        <w:suppressAutoHyphens/>
        <w:spacing w:after="0" w:line="240" w:lineRule="auto"/>
        <w:jc w:val="both"/>
        <w:rPr>
          <w:rFonts w:ascii="Times New Roman" w:eastAsia="Times New Roman" w:hAnsi="Times New Roman" w:cs="Times New Roman"/>
          <w:sz w:val="24"/>
          <w:szCs w:val="24"/>
        </w:rPr>
      </w:pPr>
      <w:r w:rsidRPr="00EC57C7">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w:t>
      </w:r>
      <w:r w:rsidRPr="00EC57C7">
        <w:rPr>
          <w:rFonts w:ascii="Times New Roman" w:hAnsi="Times New Roman" w:cs="Times New Roman"/>
          <w:sz w:val="24"/>
          <w:szCs w:val="24"/>
        </w:rPr>
        <w:lastRenderedPageBreak/>
        <w:t xml:space="preserve">договору Постачальником, </w:t>
      </w:r>
      <w:r w:rsidRPr="00EC57C7">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EC57C7">
        <w:rPr>
          <w:rFonts w:ascii="Times New Roman" w:hAnsi="Times New Roman" w:cs="Times New Roman"/>
          <w:sz w:val="24"/>
          <w:szCs w:val="24"/>
        </w:rPr>
        <w:t>. Грубим порушенням умов договору вважається:</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порушення порядку поставки товару, що передбачено п.5.2. даного Договору.</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xml:space="preserve">- порушення умов поставки та збереження товарного вигляду товару. </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EC57C7" w:rsidRPr="00EC57C7" w:rsidRDefault="00EC57C7" w:rsidP="00EC57C7">
      <w:pPr>
        <w:widowControl w:val="0"/>
        <w:numPr>
          <w:ilvl w:val="0"/>
          <w:numId w:val="13"/>
        </w:numPr>
        <w:tabs>
          <w:tab w:val="left" w:pos="94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Контролювати поставку товарів у строки, встановлені цим Договором;</w:t>
      </w:r>
    </w:p>
    <w:p w:rsidR="00EC57C7" w:rsidRPr="00EC57C7" w:rsidRDefault="00EC57C7" w:rsidP="00EC57C7">
      <w:pPr>
        <w:widowControl w:val="0"/>
        <w:numPr>
          <w:ilvl w:val="0"/>
          <w:numId w:val="13"/>
        </w:numPr>
        <w:tabs>
          <w:tab w:val="left" w:pos="986"/>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EC57C7" w:rsidRPr="00EC57C7" w:rsidRDefault="00EC57C7" w:rsidP="00EC57C7">
      <w:pPr>
        <w:widowControl w:val="0"/>
        <w:numPr>
          <w:ilvl w:val="0"/>
          <w:numId w:val="13"/>
        </w:numPr>
        <w:tabs>
          <w:tab w:val="left" w:pos="1039"/>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EC57C7" w:rsidRPr="00EC57C7" w:rsidRDefault="00EC57C7" w:rsidP="00EC57C7">
      <w:pPr>
        <w:widowControl w:val="0"/>
        <w:numPr>
          <w:ilvl w:val="0"/>
          <w:numId w:val="12"/>
        </w:numPr>
        <w:tabs>
          <w:tab w:val="left" w:pos="758"/>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Постачальник зобов'язаний:</w:t>
      </w:r>
    </w:p>
    <w:p w:rsidR="00EC57C7" w:rsidRPr="00EC57C7" w:rsidRDefault="00EC57C7" w:rsidP="00EC57C7">
      <w:pPr>
        <w:widowControl w:val="0"/>
        <w:numPr>
          <w:ilvl w:val="0"/>
          <w:numId w:val="14"/>
        </w:numPr>
        <w:tabs>
          <w:tab w:val="left" w:pos="940"/>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Забезпечити поставку товарів у строки, встановлені цим Договором;</w:t>
      </w:r>
    </w:p>
    <w:p w:rsidR="00EC57C7" w:rsidRPr="00EC57C7" w:rsidRDefault="00EC57C7" w:rsidP="00EC57C7">
      <w:pPr>
        <w:widowControl w:val="0"/>
        <w:numPr>
          <w:ilvl w:val="0"/>
          <w:numId w:val="14"/>
        </w:numPr>
        <w:tabs>
          <w:tab w:val="left" w:pos="972"/>
        </w:tabs>
        <w:suppressAutoHyphens/>
        <w:spacing w:after="0" w:line="240" w:lineRule="auto"/>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EC57C7" w:rsidRPr="00EC57C7" w:rsidRDefault="00EC57C7" w:rsidP="00EC57C7">
      <w:pPr>
        <w:widowControl w:val="0"/>
        <w:numPr>
          <w:ilvl w:val="0"/>
          <w:numId w:val="12"/>
        </w:numPr>
        <w:tabs>
          <w:tab w:val="left" w:pos="762"/>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Постачальник має право:</w:t>
      </w:r>
    </w:p>
    <w:p w:rsidR="00EC57C7" w:rsidRPr="00EC57C7" w:rsidRDefault="00EC57C7" w:rsidP="00EC57C7">
      <w:pPr>
        <w:widowControl w:val="0"/>
        <w:numPr>
          <w:ilvl w:val="0"/>
          <w:numId w:val="15"/>
        </w:numPr>
        <w:tabs>
          <w:tab w:val="left" w:pos="94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Своєчасно та в повному обсязі отримувати плату за поставлені товари;</w:t>
      </w:r>
    </w:p>
    <w:p w:rsidR="00EC57C7" w:rsidRPr="00EC57C7" w:rsidRDefault="00EC57C7" w:rsidP="00EC57C7">
      <w:pPr>
        <w:widowControl w:val="0"/>
        <w:numPr>
          <w:ilvl w:val="0"/>
          <w:numId w:val="15"/>
        </w:numPr>
        <w:tabs>
          <w:tab w:val="left" w:pos="94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На дострокову поставку товарів за письмовим погодженням Покупця;</w:t>
      </w:r>
    </w:p>
    <w:p w:rsidR="00EC57C7" w:rsidRPr="00EC57C7" w:rsidRDefault="00EC57C7" w:rsidP="00EC57C7">
      <w:pPr>
        <w:widowControl w:val="0"/>
        <w:numPr>
          <w:ilvl w:val="0"/>
          <w:numId w:val="15"/>
        </w:numPr>
        <w:tabs>
          <w:tab w:val="left" w:pos="958"/>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VII. Відповідальність сторін</w:t>
      </w:r>
    </w:p>
    <w:p w:rsidR="00EC57C7" w:rsidRPr="00EC57C7" w:rsidRDefault="00EC57C7" w:rsidP="00EC57C7">
      <w:pPr>
        <w:widowControl w:val="0"/>
        <w:numPr>
          <w:ilvl w:val="0"/>
          <w:numId w:val="16"/>
        </w:numPr>
        <w:tabs>
          <w:tab w:val="left" w:pos="78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EC57C7" w:rsidRPr="00EC57C7" w:rsidRDefault="00EC57C7" w:rsidP="00EC57C7">
      <w:pPr>
        <w:widowControl w:val="0"/>
        <w:numPr>
          <w:ilvl w:val="0"/>
          <w:numId w:val="16"/>
        </w:numPr>
        <w:tabs>
          <w:tab w:val="left" w:pos="814"/>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EC57C7" w:rsidRPr="00EC57C7" w:rsidRDefault="00EC57C7" w:rsidP="00EC57C7">
      <w:pPr>
        <w:widowControl w:val="0"/>
        <w:numPr>
          <w:ilvl w:val="0"/>
          <w:numId w:val="16"/>
        </w:numPr>
        <w:tabs>
          <w:tab w:val="left" w:pos="762"/>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Види порушень та санкції за них, установлені Договором:</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VIII. Обставини непереборної сили</w:t>
      </w:r>
    </w:p>
    <w:p w:rsidR="00EC57C7" w:rsidRPr="00EC57C7" w:rsidRDefault="00EC57C7" w:rsidP="00EC57C7">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C57C7" w:rsidRPr="00EC57C7" w:rsidRDefault="00EC57C7" w:rsidP="00EC57C7">
      <w:pPr>
        <w:widowControl w:val="0"/>
        <w:numPr>
          <w:ilvl w:val="0"/>
          <w:numId w:val="17"/>
        </w:numPr>
        <w:tabs>
          <w:tab w:val="left" w:pos="809"/>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EC57C7" w:rsidRPr="00EC57C7" w:rsidRDefault="00EC57C7" w:rsidP="00EC57C7">
      <w:pPr>
        <w:widowControl w:val="0"/>
        <w:numPr>
          <w:ilvl w:val="0"/>
          <w:numId w:val="17"/>
        </w:numPr>
        <w:tabs>
          <w:tab w:val="left" w:pos="857"/>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EC57C7" w:rsidRPr="00EC57C7" w:rsidRDefault="00EC57C7" w:rsidP="00EC57C7">
      <w:pPr>
        <w:widowControl w:val="0"/>
        <w:numPr>
          <w:ilvl w:val="0"/>
          <w:numId w:val="17"/>
        </w:numPr>
        <w:tabs>
          <w:tab w:val="left" w:pos="804"/>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IX. Вирішення спорів</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EC57C7" w:rsidRPr="00EC57C7" w:rsidRDefault="00EC57C7" w:rsidP="00EC57C7">
      <w:pPr>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X. Інші умови</w:t>
      </w:r>
    </w:p>
    <w:p w:rsidR="002279D5" w:rsidRPr="002279D5" w:rsidRDefault="002279D5" w:rsidP="002279D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2279D5" w:rsidRPr="002279D5" w:rsidRDefault="002279D5" w:rsidP="002279D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279D5" w:rsidRPr="002279D5" w:rsidRDefault="002279D5" w:rsidP="002279D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79D5" w:rsidRPr="002279D5" w:rsidRDefault="002279D5" w:rsidP="002279D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79D5" w:rsidRPr="002279D5" w:rsidRDefault="002279D5" w:rsidP="002279D5">
      <w:pPr>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79D5" w:rsidRPr="002279D5" w:rsidRDefault="002279D5" w:rsidP="002279D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279D5" w:rsidRPr="002279D5" w:rsidRDefault="002279D5" w:rsidP="002279D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79D5" w:rsidRPr="002279D5" w:rsidRDefault="002279D5" w:rsidP="002279D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79D5" w:rsidRPr="002279D5" w:rsidRDefault="002279D5" w:rsidP="002279D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2279D5" w:rsidRPr="002279D5" w:rsidRDefault="002279D5" w:rsidP="002279D5">
      <w:pPr>
        <w:spacing w:after="0" w:line="240" w:lineRule="auto"/>
        <w:ind w:firstLine="425"/>
        <w:jc w:val="both"/>
        <w:rPr>
          <w:rFonts w:ascii="Times New Roman" w:eastAsia="Times New Roman" w:hAnsi="Times New Roman" w:cs="Times New Roman"/>
          <w:iCs/>
          <w:sz w:val="24"/>
          <w:szCs w:val="24"/>
        </w:rPr>
      </w:pPr>
      <w:r w:rsidRPr="002279D5">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2279D5" w:rsidRPr="002279D5" w:rsidRDefault="002279D5" w:rsidP="002279D5">
      <w:pPr>
        <w:spacing w:after="0" w:line="240" w:lineRule="auto"/>
        <w:ind w:firstLine="425"/>
        <w:jc w:val="both"/>
        <w:rPr>
          <w:rFonts w:ascii="Times New Roman" w:hAnsi="Times New Roman" w:cs="Times New Roman"/>
          <w:sz w:val="24"/>
          <w:szCs w:val="24"/>
        </w:rPr>
      </w:pPr>
      <w:r w:rsidRPr="002279D5">
        <w:rPr>
          <w:rFonts w:ascii="Times New Roman" w:eastAsia="Times New Roman" w:hAnsi="Times New Roman" w:cs="Times New Roman"/>
          <w:iCs/>
          <w:sz w:val="24"/>
          <w:szCs w:val="24"/>
        </w:rPr>
        <w:t xml:space="preserve">10.2.  </w:t>
      </w:r>
      <w:r w:rsidRPr="002279D5">
        <w:rPr>
          <w:rFonts w:ascii="Times New Roman" w:hAnsi="Times New Roman" w:cs="Times New Roman"/>
          <w:sz w:val="24"/>
          <w:szCs w:val="24"/>
        </w:rPr>
        <w:t>Дія Договору припиняється:</w:t>
      </w:r>
    </w:p>
    <w:p w:rsidR="002279D5" w:rsidRPr="002279D5" w:rsidRDefault="002279D5" w:rsidP="002279D5">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2279D5">
        <w:rPr>
          <w:rFonts w:ascii="Times New Roman" w:hAnsi="Times New Roman" w:cs="Times New Roman"/>
          <w:sz w:val="24"/>
          <w:szCs w:val="24"/>
        </w:rPr>
        <w:t>повним виконанням Сторонами своїх зобов’язань за цим Договором;</w:t>
      </w:r>
    </w:p>
    <w:p w:rsidR="002279D5" w:rsidRPr="002279D5" w:rsidRDefault="002279D5" w:rsidP="002279D5">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2279D5">
        <w:rPr>
          <w:rFonts w:ascii="Times New Roman" w:hAnsi="Times New Roman" w:cs="Times New Roman"/>
          <w:sz w:val="24"/>
          <w:szCs w:val="24"/>
        </w:rPr>
        <w:t>за згодою Сторін;</w:t>
      </w:r>
    </w:p>
    <w:p w:rsidR="002279D5" w:rsidRPr="002279D5" w:rsidRDefault="002279D5" w:rsidP="002279D5">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2279D5">
        <w:rPr>
          <w:rFonts w:ascii="Times New Roman" w:hAnsi="Times New Roman" w:cs="Times New Roman"/>
          <w:sz w:val="24"/>
          <w:szCs w:val="24"/>
        </w:rPr>
        <w:t>з інших підстав, передбачених чинним законодавством України.</w:t>
      </w:r>
    </w:p>
    <w:p w:rsidR="002279D5" w:rsidRPr="002279D5" w:rsidRDefault="002279D5" w:rsidP="002279D5">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2279D5" w:rsidRPr="002279D5" w:rsidRDefault="002279D5" w:rsidP="002279D5">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10.4. Умови договору зберігають свою силу протягом всього строку дії договору.</w:t>
      </w:r>
    </w:p>
    <w:p w:rsidR="002279D5" w:rsidRPr="002279D5" w:rsidRDefault="002279D5" w:rsidP="002279D5">
      <w:pPr>
        <w:spacing w:after="0" w:line="240" w:lineRule="auto"/>
        <w:ind w:firstLine="425"/>
        <w:jc w:val="both"/>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2279D5" w:rsidRPr="002279D5" w:rsidRDefault="002279D5" w:rsidP="002279D5">
      <w:pPr>
        <w:widowControl w:val="0"/>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 xml:space="preserve">10.6. Зміни та доповнення до цього Договору, а так само розірвання Договору </w:t>
      </w:r>
      <w:r w:rsidRPr="002279D5">
        <w:rPr>
          <w:rFonts w:ascii="Times New Roman" w:hAnsi="Times New Roman" w:cs="Times New Roman"/>
          <w:sz w:val="24"/>
          <w:szCs w:val="24"/>
        </w:rPr>
        <w:lastRenderedPageBreak/>
        <w:t xml:space="preserve">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2279D5" w:rsidRPr="002279D5" w:rsidRDefault="002279D5" w:rsidP="002279D5">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2279D5" w:rsidRPr="002279D5" w:rsidRDefault="002279D5" w:rsidP="002279D5">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2279D5" w:rsidRPr="002279D5" w:rsidRDefault="002279D5" w:rsidP="002279D5">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2279D5" w:rsidRPr="002279D5" w:rsidRDefault="002279D5" w:rsidP="002279D5">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EC57C7" w:rsidRPr="00EC57C7" w:rsidRDefault="00EC57C7" w:rsidP="00EC57C7">
      <w:pPr>
        <w:spacing w:after="0" w:line="240" w:lineRule="auto"/>
        <w:jc w:val="both"/>
        <w:textAlignment w:val="baseline"/>
        <w:rPr>
          <w:rFonts w:ascii="Times New Roman" w:eastAsia="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XI. Строк дії договору</w:t>
      </w:r>
    </w:p>
    <w:p w:rsidR="00EC57C7" w:rsidRPr="00EC57C7" w:rsidRDefault="00EC57C7" w:rsidP="00EC57C7">
      <w:pPr>
        <w:spacing w:after="0" w:line="240" w:lineRule="auto"/>
        <w:ind w:firstLine="426"/>
        <w:contextualSpacing/>
        <w:jc w:val="both"/>
        <w:rPr>
          <w:rFonts w:ascii="Times New Roman" w:eastAsia="Times New Roman" w:hAnsi="Times New Roman" w:cs="Times New Roman"/>
          <w:b/>
          <w:sz w:val="24"/>
          <w:szCs w:val="24"/>
        </w:rPr>
      </w:pPr>
      <w:r w:rsidRPr="00EC57C7">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EC57C7">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EC57C7" w:rsidRPr="00EC57C7" w:rsidRDefault="00EC57C7" w:rsidP="00EC57C7">
      <w:pPr>
        <w:spacing w:after="0" w:line="240" w:lineRule="auto"/>
        <w:ind w:firstLine="426"/>
        <w:contextualSpacing/>
        <w:jc w:val="both"/>
        <w:rPr>
          <w:rFonts w:ascii="Times New Roman" w:eastAsia="Times New Roman" w:hAnsi="Times New Roman" w:cs="Times New Roman"/>
          <w:b/>
          <w:sz w:val="24"/>
          <w:szCs w:val="24"/>
        </w:rPr>
      </w:pPr>
      <w:r w:rsidRPr="00EC57C7">
        <w:rPr>
          <w:rFonts w:ascii="Times New Roman" w:eastAsia="Times New Roman" w:hAnsi="Times New Roman" w:cs="Times New Roman"/>
          <w:sz w:val="24"/>
          <w:szCs w:val="24"/>
        </w:rPr>
        <w:t>11</w:t>
      </w:r>
      <w:r w:rsidRPr="00EC57C7">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EC57C7" w:rsidRPr="00EC57C7" w:rsidRDefault="00EC57C7" w:rsidP="00EC57C7">
      <w:pPr>
        <w:spacing w:after="0" w:line="240" w:lineRule="auto"/>
        <w:ind w:firstLine="426"/>
        <w:contextualSpacing/>
        <w:jc w:val="both"/>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XIІ. Додатки до договору</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12.1. Невід'ємною частиною цього Договору є: специфікація.</w:t>
      </w:r>
    </w:p>
    <w:p w:rsidR="00EC57C7" w:rsidRPr="00EC57C7" w:rsidRDefault="00EC57C7" w:rsidP="00EC57C7">
      <w:pPr>
        <w:spacing w:after="0" w:line="240" w:lineRule="auto"/>
        <w:jc w:val="both"/>
        <w:rPr>
          <w:rFonts w:ascii="Times New Roman" w:eastAsia="Times New Roman" w:hAnsi="Times New Roman" w:cs="Times New Roman"/>
          <w:sz w:val="24"/>
          <w:szCs w:val="24"/>
        </w:rPr>
      </w:pPr>
    </w:p>
    <w:p w:rsidR="00EC57C7" w:rsidRPr="00EC57C7" w:rsidRDefault="00EC57C7"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4" w:name="bookmark11"/>
      <w:r w:rsidRPr="00EC57C7">
        <w:rPr>
          <w:rFonts w:ascii="Times New Roman" w:eastAsia="Times New Roman" w:hAnsi="Times New Roman" w:cs="Times New Roman"/>
          <w:b/>
          <w:sz w:val="24"/>
          <w:szCs w:val="24"/>
        </w:rPr>
        <w:t xml:space="preserve">XIІI. Місцезнаходження та банківські реквізити сторін </w:t>
      </w:r>
      <w:bookmarkEnd w:id="4"/>
    </w:p>
    <w:tbl>
      <w:tblPr>
        <w:tblW w:w="9853" w:type="dxa"/>
        <w:tblInd w:w="109" w:type="dxa"/>
        <w:tblLayout w:type="fixed"/>
        <w:tblLook w:val="01E0"/>
      </w:tblPr>
      <w:tblGrid>
        <w:gridCol w:w="4926"/>
        <w:gridCol w:w="4927"/>
      </w:tblGrid>
      <w:tr w:rsidR="00EC57C7" w:rsidRPr="00EC57C7" w:rsidTr="00A76CC1">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bookmarkStart w:id="5" w:name="114"/>
            <w:bookmarkEnd w:id="5"/>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c>
          <w:tcPr>
            <w:tcW w:w="4926" w:type="dxa"/>
          </w:tcPr>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r>
      <w:tr w:rsidR="00EC57C7" w:rsidRPr="00EC57C7" w:rsidTr="00A76CC1">
        <w:tc>
          <w:tcPr>
            <w:tcW w:w="4926" w:type="dxa"/>
          </w:tcPr>
          <w:p w:rsidR="00EC57C7" w:rsidRPr="00EC57C7" w:rsidRDefault="00EC57C7" w:rsidP="00A76CC1">
            <w:pPr>
              <w:widowControl w:val="0"/>
              <w:spacing w:after="0" w:line="240" w:lineRule="auto"/>
              <w:jc w:val="both"/>
              <w:rPr>
                <w:rFonts w:ascii="Times New Roman" w:hAnsi="Times New Roman" w:cs="Times New Roman"/>
                <w:b/>
                <w:bCs/>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c>
          <w:tcPr>
            <w:tcW w:w="4926" w:type="dxa"/>
          </w:tcPr>
          <w:p w:rsidR="00EC57C7" w:rsidRPr="00EC57C7" w:rsidRDefault="00EC57C7" w:rsidP="00A76CC1">
            <w:pPr>
              <w:widowControl w:val="0"/>
              <w:spacing w:after="0" w:line="240" w:lineRule="auto"/>
              <w:jc w:val="both"/>
              <w:rPr>
                <w:rFonts w:ascii="Times New Roman" w:hAnsi="Times New Roman" w:cs="Times New Roman"/>
                <w:b/>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r>
    </w:tbl>
    <w:p w:rsidR="00EC57C7" w:rsidRPr="00BD7CCF" w:rsidRDefault="00EC57C7" w:rsidP="00EC57C7">
      <w:pPr>
        <w:widowControl w:val="0"/>
        <w:tabs>
          <w:tab w:val="left" w:pos="1080"/>
        </w:tabs>
        <w:spacing w:after="0" w:line="240" w:lineRule="auto"/>
        <w:jc w:val="right"/>
        <w:rPr>
          <w:rFonts w:ascii="Times New Roman" w:hAnsi="Times New Roman" w:cs="Times New Roman"/>
          <w:b/>
        </w:rPr>
      </w:pPr>
    </w:p>
    <w:p w:rsidR="00EC57C7" w:rsidRPr="00BD7CCF" w:rsidRDefault="00EC57C7" w:rsidP="00EC57C7">
      <w:pPr>
        <w:widowControl w:val="0"/>
        <w:tabs>
          <w:tab w:val="left" w:pos="1080"/>
        </w:tabs>
        <w:spacing w:after="0" w:line="240" w:lineRule="auto"/>
        <w:jc w:val="right"/>
        <w:rPr>
          <w:rFonts w:ascii="Times New Roman" w:hAnsi="Times New Roman" w:cs="Times New Roman"/>
          <w:b/>
        </w:rPr>
      </w:pPr>
    </w:p>
    <w:p w:rsidR="009E7420" w:rsidRPr="00EC57C7"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bookmarkStart w:id="6" w:name="bookmark10"/>
      <w:r w:rsidRPr="00EC57C7">
        <w:rPr>
          <w:rFonts w:ascii="Times New Roman" w:eastAsia="Times New Roman" w:hAnsi="Times New Roman" w:cs="Times New Roman"/>
          <w:b/>
          <w:sz w:val="24"/>
          <w:szCs w:val="24"/>
          <w:lang w:eastAsia="ru-RU"/>
        </w:rPr>
        <w:lastRenderedPageBreak/>
        <w:t>Додаток №1</w:t>
      </w:r>
    </w:p>
    <w:p w:rsidR="009E7420" w:rsidRPr="00EC57C7"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9E7420" w:rsidRPr="00EC57C7"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tbl>
      <w:tblPr>
        <w:tblW w:w="10085" w:type="dxa"/>
        <w:jc w:val="center"/>
        <w:tblInd w:w="-361" w:type="dxa"/>
        <w:tblLayout w:type="fixed"/>
        <w:tblCellMar>
          <w:left w:w="0" w:type="dxa"/>
          <w:right w:w="0" w:type="dxa"/>
        </w:tblCellMar>
        <w:tblLook w:val="0000"/>
      </w:tblPr>
      <w:tblGrid>
        <w:gridCol w:w="568"/>
        <w:gridCol w:w="2208"/>
        <w:gridCol w:w="2126"/>
        <w:gridCol w:w="747"/>
        <w:gridCol w:w="851"/>
        <w:gridCol w:w="1276"/>
        <w:gridCol w:w="992"/>
        <w:gridCol w:w="1317"/>
      </w:tblGrid>
      <w:tr w:rsidR="002279D5" w:rsidRPr="00EC57C7" w:rsidTr="002279D5">
        <w:trPr>
          <w:trHeight w:val="267"/>
          <w:jc w:val="center"/>
        </w:trPr>
        <w:tc>
          <w:tcPr>
            <w:tcW w:w="568" w:type="dxa"/>
            <w:tcBorders>
              <w:top w:val="single" w:sz="4" w:space="0" w:color="000000"/>
              <w:left w:val="single" w:sz="4" w:space="0" w:color="000000"/>
              <w:bottom w:val="single" w:sz="4" w:space="0" w:color="000000"/>
              <w:right w:val="nil"/>
            </w:tcBorders>
            <w:tcMar>
              <w:left w:w="108" w:type="dxa"/>
              <w:right w:w="108" w:type="dxa"/>
            </w:tcMar>
          </w:tcPr>
          <w:p w:rsidR="002279D5" w:rsidRPr="00EC57C7" w:rsidRDefault="002279D5" w:rsidP="002279D5">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2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2279D5" w:rsidRPr="002279D5" w:rsidRDefault="002279D5" w:rsidP="002279D5">
            <w:pPr>
              <w:spacing w:after="0"/>
              <w:jc w:val="center"/>
              <w:rPr>
                <w:rFonts w:ascii="Times New Roman" w:eastAsia="Times New Roman" w:hAnsi="Times New Roman"/>
                <w:b/>
                <w:sz w:val="24"/>
                <w:szCs w:val="24"/>
                <w:lang w:bidi="uk-UA"/>
              </w:rPr>
            </w:pPr>
            <w:r w:rsidRPr="002279D5">
              <w:rPr>
                <w:rFonts w:ascii="Times New Roman" w:eastAsia="Times New Roman" w:hAnsi="Times New Roman"/>
                <w:b/>
                <w:sz w:val="24"/>
                <w:szCs w:val="24"/>
                <w:lang w:bidi="uk-UA"/>
              </w:rPr>
              <w:t>Найменування предмету закупівлі відповідно до тендерної документації</w:t>
            </w:r>
          </w:p>
        </w:tc>
        <w:tc>
          <w:tcPr>
            <w:tcW w:w="2126" w:type="dxa"/>
            <w:tcBorders>
              <w:top w:val="single" w:sz="4" w:space="0" w:color="000000"/>
              <w:left w:val="single" w:sz="4" w:space="0" w:color="auto"/>
              <w:bottom w:val="single" w:sz="4" w:space="0" w:color="000000"/>
              <w:right w:val="nil"/>
            </w:tcBorders>
          </w:tcPr>
          <w:p w:rsidR="002279D5" w:rsidRPr="002279D5" w:rsidRDefault="002279D5" w:rsidP="002279D5">
            <w:pPr>
              <w:spacing w:after="0"/>
              <w:jc w:val="center"/>
              <w:rPr>
                <w:rFonts w:ascii="Times New Roman" w:eastAsia="Times New Roman" w:hAnsi="Times New Roman"/>
                <w:b/>
                <w:sz w:val="24"/>
                <w:szCs w:val="24"/>
                <w:lang w:bidi="uk-UA"/>
              </w:rPr>
            </w:pPr>
            <w:r w:rsidRPr="002279D5">
              <w:rPr>
                <w:rFonts w:ascii="Times New Roman" w:eastAsia="Times New Roman" w:hAnsi="Times New Roman"/>
                <w:b/>
                <w:sz w:val="24"/>
                <w:szCs w:val="24"/>
                <w:lang w:bidi="uk-UA"/>
              </w:rPr>
              <w:t>Найменування товару, запропонованого учасником, виробник, країна походження</w:t>
            </w:r>
          </w:p>
        </w:tc>
        <w:tc>
          <w:tcPr>
            <w:tcW w:w="747" w:type="dxa"/>
            <w:tcBorders>
              <w:top w:val="single" w:sz="4" w:space="0" w:color="000000"/>
              <w:left w:val="single" w:sz="4" w:space="0" w:color="auto"/>
              <w:bottom w:val="single" w:sz="4" w:space="0" w:color="000000"/>
              <w:right w:val="nil"/>
            </w:tcBorders>
          </w:tcPr>
          <w:p w:rsidR="002279D5" w:rsidRPr="00656DC1" w:rsidRDefault="002279D5" w:rsidP="002279D5">
            <w:pPr>
              <w:spacing w:after="0"/>
              <w:jc w:val="center"/>
              <w:rPr>
                <w:rFonts w:ascii="Times New Roman" w:eastAsia="Times New Roman" w:hAnsi="Times New Roman" w:cs="Times New Roman"/>
                <w:b/>
                <w:sz w:val="24"/>
                <w:szCs w:val="24"/>
                <w:lang w:eastAsia="ru-RU"/>
              </w:rPr>
            </w:pPr>
          </w:p>
          <w:p w:rsidR="002279D5" w:rsidRPr="00656DC1" w:rsidRDefault="002279D5" w:rsidP="002279D5">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2279D5" w:rsidRPr="00656DC1" w:rsidRDefault="002279D5" w:rsidP="002279D5">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2279D5" w:rsidRPr="00656DC1" w:rsidRDefault="002279D5" w:rsidP="002279D5">
            <w:pPr>
              <w:tabs>
                <w:tab w:val="left" w:pos="540"/>
              </w:tabs>
              <w:spacing w:after="0" w:line="240" w:lineRule="auto"/>
              <w:jc w:val="center"/>
              <w:rPr>
                <w:rFonts w:ascii="Times New Roman" w:eastAsia="Times New Roman" w:hAnsi="Times New Roman" w:cs="Times New Roman"/>
                <w:b/>
                <w:sz w:val="24"/>
                <w:szCs w:val="24"/>
                <w:lang w:eastAsia="ru-RU"/>
              </w:rPr>
            </w:pPr>
          </w:p>
          <w:p w:rsidR="002279D5" w:rsidRPr="00656DC1" w:rsidRDefault="002279D5" w:rsidP="002279D5">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w:t>
            </w:r>
            <w:r>
              <w:rPr>
                <w:rFonts w:ascii="Times New Roman" w:eastAsia="Times New Roman" w:hAnsi="Times New Roman" w:cs="Times New Roman"/>
                <w:b/>
                <w:sz w:val="24"/>
                <w:szCs w:val="24"/>
                <w:lang w:val="en-US" w:eastAsia="ru-RU"/>
              </w:rPr>
              <w:t>-</w:t>
            </w:r>
            <w:r w:rsidRPr="00656DC1">
              <w:rPr>
                <w:rFonts w:ascii="Times New Roman" w:eastAsia="Times New Roman" w:hAnsi="Times New Roman" w:cs="Times New Roman"/>
                <w:b/>
                <w:sz w:val="24"/>
                <w:szCs w:val="24"/>
                <w:lang w:eastAsia="ru-RU"/>
              </w:rPr>
              <w:t>кість</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2279D5" w:rsidRPr="00656DC1" w:rsidRDefault="002279D5" w:rsidP="002279D5">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2279D5" w:rsidRPr="00656DC1" w:rsidRDefault="002279D5" w:rsidP="002279D5">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279D5" w:rsidRPr="00656DC1" w:rsidRDefault="002279D5" w:rsidP="002279D5">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656DC1" w:rsidRPr="00EC57C7" w:rsidTr="002279D5">
        <w:trPr>
          <w:trHeight w:val="255"/>
          <w:jc w:val="center"/>
        </w:trPr>
        <w:tc>
          <w:tcPr>
            <w:tcW w:w="568"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747" w:type="dxa"/>
            <w:tcBorders>
              <w:top w:val="single" w:sz="4" w:space="0" w:color="000000"/>
              <w:left w:val="single" w:sz="4" w:space="0" w:color="auto"/>
              <w:bottom w:val="single" w:sz="4" w:space="0" w:color="000000"/>
              <w:right w:val="nil"/>
            </w:tcBorders>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r>
      <w:tr w:rsidR="00656DC1" w:rsidRPr="00EC57C7" w:rsidTr="002279D5">
        <w:trPr>
          <w:trHeight w:val="255"/>
          <w:jc w:val="center"/>
        </w:trPr>
        <w:tc>
          <w:tcPr>
            <w:tcW w:w="568"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747" w:type="dxa"/>
            <w:tcBorders>
              <w:top w:val="single" w:sz="4" w:space="0" w:color="000000"/>
              <w:left w:val="single" w:sz="4" w:space="0" w:color="auto"/>
              <w:bottom w:val="single" w:sz="4" w:space="0" w:color="000000"/>
              <w:right w:val="nil"/>
            </w:tcBorders>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r>
      <w:tr w:rsidR="00656DC1" w:rsidRPr="00EC57C7" w:rsidTr="002279D5">
        <w:trPr>
          <w:trHeight w:val="255"/>
          <w:jc w:val="center"/>
        </w:trPr>
        <w:tc>
          <w:tcPr>
            <w:tcW w:w="568"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747" w:type="dxa"/>
            <w:tcBorders>
              <w:top w:val="single" w:sz="4" w:space="0" w:color="000000"/>
              <w:left w:val="single" w:sz="4" w:space="0" w:color="auto"/>
              <w:bottom w:val="single" w:sz="4" w:space="0" w:color="000000"/>
              <w:right w:val="nil"/>
            </w:tcBorders>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EC57C7" w:rsidRDefault="00656DC1" w:rsidP="002279D5">
            <w:pPr>
              <w:tabs>
                <w:tab w:val="left" w:pos="540"/>
              </w:tabs>
              <w:spacing w:after="0" w:line="240" w:lineRule="auto"/>
              <w:jc w:val="center"/>
              <w:rPr>
                <w:rFonts w:ascii="Times New Roman" w:eastAsia="Times New Roman" w:hAnsi="Times New Roman" w:cs="Times New Roman"/>
                <w:sz w:val="24"/>
                <w:szCs w:val="24"/>
              </w:rPr>
            </w:pPr>
          </w:p>
        </w:tc>
      </w:tr>
      <w:tr w:rsidR="005778E8" w:rsidRPr="00EC57C7" w:rsidTr="002279D5">
        <w:trPr>
          <w:trHeight w:val="255"/>
          <w:jc w:val="center"/>
        </w:trPr>
        <w:tc>
          <w:tcPr>
            <w:tcW w:w="8768" w:type="dxa"/>
            <w:gridSpan w:val="7"/>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2279D5">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Разом</w:t>
            </w:r>
          </w:p>
          <w:p w:rsidR="009E7420" w:rsidRPr="00EC57C7" w:rsidRDefault="009E7420" w:rsidP="002279D5">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______________________________________________________________грн.</w:t>
            </w:r>
          </w:p>
          <w:p w:rsidR="009E7420" w:rsidRPr="00EC57C7" w:rsidRDefault="009E7420" w:rsidP="002279D5">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w:t>
            </w:r>
          </w:p>
          <w:p w:rsidR="009E7420" w:rsidRPr="00EC57C7" w:rsidRDefault="009E7420" w:rsidP="002279D5">
            <w:pPr>
              <w:tabs>
                <w:tab w:val="left" w:pos="540"/>
              </w:tabs>
              <w:spacing w:after="0" w:line="240" w:lineRule="auto"/>
              <w:jc w:val="center"/>
              <w:rPr>
                <w:rFonts w:ascii="Times New Roman" w:eastAsia="Times New Roman" w:hAnsi="Times New Roman" w:cs="Times New Roman"/>
                <w:sz w:val="24"/>
                <w:szCs w:val="24"/>
                <w:lang w:eastAsia="ru-RU"/>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EC57C7" w:rsidRDefault="009E7420" w:rsidP="002279D5">
            <w:pPr>
              <w:tabs>
                <w:tab w:val="left" w:pos="540"/>
              </w:tabs>
              <w:spacing w:after="0" w:line="240" w:lineRule="auto"/>
              <w:jc w:val="center"/>
              <w:rPr>
                <w:rFonts w:ascii="Times New Roman" w:eastAsia="Times New Roman" w:hAnsi="Times New Roman" w:cs="Times New Roman"/>
                <w:sz w:val="24"/>
                <w:szCs w:val="24"/>
                <w:lang w:eastAsia="ru-RU"/>
              </w:rPr>
            </w:pPr>
          </w:p>
        </w:tc>
      </w:tr>
      <w:bookmarkEnd w:id="6"/>
    </w:tbl>
    <w:p w:rsidR="00EC57C7" w:rsidRPr="00EC57C7" w:rsidRDefault="00EC57C7" w:rsidP="00EC57C7">
      <w:pPr>
        <w:rPr>
          <w:rFonts w:ascii="Times New Roman" w:eastAsia="Times New Roman" w:hAnsi="Times New Roman" w:cs="Times New Roman"/>
          <w:sz w:val="24"/>
          <w:szCs w:val="24"/>
        </w:rPr>
      </w:pPr>
    </w:p>
    <w:p w:rsidR="00EC57C7" w:rsidRPr="00EC57C7" w:rsidRDefault="00EC57C7" w:rsidP="00EC57C7">
      <w:pPr>
        <w:rPr>
          <w:rFonts w:ascii="Times New Roman" w:eastAsia="Times New Roman" w:hAnsi="Times New Roman" w:cs="Times New Roman"/>
          <w:sz w:val="24"/>
          <w:szCs w:val="24"/>
        </w:rPr>
      </w:pPr>
    </w:p>
    <w:p w:rsidR="00EC57C7" w:rsidRPr="00EC57C7" w:rsidRDefault="00EC57C7" w:rsidP="00EC57C7">
      <w:pPr>
        <w:rPr>
          <w:rFonts w:ascii="Times New Roman" w:eastAsia="Times New Roman" w:hAnsi="Times New Roman" w:cs="Times New Roman"/>
          <w:sz w:val="24"/>
          <w:szCs w:val="24"/>
        </w:rPr>
      </w:pPr>
    </w:p>
    <w:tbl>
      <w:tblPr>
        <w:tblW w:w="9853" w:type="dxa"/>
        <w:tblInd w:w="109" w:type="dxa"/>
        <w:tblLayout w:type="fixed"/>
        <w:tblLook w:val="01E0"/>
      </w:tblPr>
      <w:tblGrid>
        <w:gridCol w:w="4926"/>
        <w:gridCol w:w="4927"/>
      </w:tblGrid>
      <w:tr w:rsidR="00EC57C7" w:rsidRPr="00EC57C7" w:rsidTr="00A76CC1">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c>
          <w:tcPr>
            <w:tcW w:w="4926" w:type="dxa"/>
          </w:tcPr>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r>
      <w:tr w:rsidR="00EC57C7" w:rsidRPr="00EC57C7" w:rsidTr="00A76CC1">
        <w:tc>
          <w:tcPr>
            <w:tcW w:w="4926" w:type="dxa"/>
          </w:tcPr>
          <w:p w:rsidR="00EC57C7" w:rsidRPr="00EC57C7" w:rsidRDefault="00EC57C7" w:rsidP="00A76CC1">
            <w:pPr>
              <w:widowControl w:val="0"/>
              <w:spacing w:after="0" w:line="240" w:lineRule="auto"/>
              <w:jc w:val="both"/>
              <w:rPr>
                <w:rFonts w:ascii="Times New Roman" w:hAnsi="Times New Roman" w:cs="Times New Roman"/>
                <w:b/>
                <w:bCs/>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c>
          <w:tcPr>
            <w:tcW w:w="4926" w:type="dxa"/>
          </w:tcPr>
          <w:p w:rsidR="00EC57C7" w:rsidRPr="00EC57C7" w:rsidRDefault="00EC57C7" w:rsidP="00A76CC1">
            <w:pPr>
              <w:widowControl w:val="0"/>
              <w:spacing w:after="0" w:line="240" w:lineRule="auto"/>
              <w:jc w:val="both"/>
              <w:rPr>
                <w:rFonts w:ascii="Times New Roman" w:hAnsi="Times New Roman" w:cs="Times New Roman"/>
                <w:b/>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r>
    </w:tbl>
    <w:p w:rsidR="00503BC6" w:rsidRPr="00EC57C7" w:rsidRDefault="00503BC6" w:rsidP="00EC57C7">
      <w:pPr>
        <w:ind w:firstLine="708"/>
        <w:rPr>
          <w:rFonts w:ascii="Times New Roman" w:eastAsia="Times New Roman" w:hAnsi="Times New Roman" w:cs="Times New Roman"/>
          <w:sz w:val="24"/>
          <w:szCs w:val="24"/>
        </w:rPr>
      </w:pPr>
    </w:p>
    <w:sectPr w:rsidR="00503BC6" w:rsidRPr="00EC57C7" w:rsidSect="006A3A27">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1C" w:rsidRDefault="0052011C" w:rsidP="00EC57C7">
      <w:pPr>
        <w:spacing w:after="0" w:line="240" w:lineRule="auto"/>
      </w:pPr>
      <w:r>
        <w:separator/>
      </w:r>
    </w:p>
  </w:endnote>
  <w:endnote w:type="continuationSeparator" w:id="0">
    <w:p w:rsidR="0052011C" w:rsidRDefault="0052011C" w:rsidP="00EC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50439"/>
      <w:docPartObj>
        <w:docPartGallery w:val="Page Numbers (Bottom of Page)"/>
        <w:docPartUnique/>
      </w:docPartObj>
    </w:sdtPr>
    <w:sdtContent>
      <w:p w:rsidR="00EC57C7" w:rsidRDefault="000553C6">
        <w:pPr>
          <w:pStyle w:val="a9"/>
          <w:jc w:val="right"/>
        </w:pPr>
        <w:fldSimple w:instr=" PAGE   \* MERGEFORMAT ">
          <w:r w:rsidR="003C6254">
            <w:rPr>
              <w:noProof/>
            </w:rPr>
            <w:t>1</w:t>
          </w:r>
        </w:fldSimple>
      </w:p>
    </w:sdtContent>
  </w:sdt>
  <w:p w:rsidR="00EC57C7" w:rsidRDefault="00EC57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1C" w:rsidRDefault="0052011C" w:rsidP="00EC57C7">
      <w:pPr>
        <w:spacing w:after="0" w:line="240" w:lineRule="auto"/>
      </w:pPr>
      <w:r>
        <w:separator/>
      </w:r>
    </w:p>
  </w:footnote>
  <w:footnote w:type="continuationSeparator" w:id="0">
    <w:p w:rsidR="0052011C" w:rsidRDefault="0052011C" w:rsidP="00EC5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7"/>
  </w:num>
  <w:num w:numId="10">
    <w:abstractNumId w:val="4"/>
  </w:num>
  <w:num w:numId="11">
    <w:abstractNumId w:val="11"/>
  </w:num>
  <w:num w:numId="12">
    <w:abstractNumId w:val="10"/>
  </w:num>
  <w:num w:numId="13">
    <w:abstractNumId w:val="3"/>
  </w:num>
  <w:num w:numId="14">
    <w:abstractNumId w:val="13"/>
  </w:num>
  <w:num w:numId="15">
    <w:abstractNumId w:val="6"/>
  </w:num>
  <w:num w:numId="16">
    <w:abstractNumId w:val="8"/>
  </w:num>
  <w:num w:numId="17">
    <w:abstractNumId w:val="17"/>
  </w:num>
  <w:num w:numId="18">
    <w:abstractNumId w:val="1"/>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54A0"/>
    <w:rsid w:val="00042D09"/>
    <w:rsid w:val="000553C6"/>
    <w:rsid w:val="00093FAD"/>
    <w:rsid w:val="001325A7"/>
    <w:rsid w:val="00166778"/>
    <w:rsid w:val="001847E9"/>
    <w:rsid w:val="00196382"/>
    <w:rsid w:val="001B0B07"/>
    <w:rsid w:val="0022292B"/>
    <w:rsid w:val="002279D5"/>
    <w:rsid w:val="002A7327"/>
    <w:rsid w:val="002C280F"/>
    <w:rsid w:val="00304A72"/>
    <w:rsid w:val="00322A7A"/>
    <w:rsid w:val="0036225B"/>
    <w:rsid w:val="00362A46"/>
    <w:rsid w:val="00393AC9"/>
    <w:rsid w:val="003C6254"/>
    <w:rsid w:val="00403F99"/>
    <w:rsid w:val="00490329"/>
    <w:rsid w:val="004E1FC0"/>
    <w:rsid w:val="00503BC6"/>
    <w:rsid w:val="0052011C"/>
    <w:rsid w:val="005778E8"/>
    <w:rsid w:val="005930AE"/>
    <w:rsid w:val="005B2090"/>
    <w:rsid w:val="005B63D5"/>
    <w:rsid w:val="005D6A5C"/>
    <w:rsid w:val="005F461C"/>
    <w:rsid w:val="005F4D42"/>
    <w:rsid w:val="00620C5C"/>
    <w:rsid w:val="00656DC1"/>
    <w:rsid w:val="00657CA5"/>
    <w:rsid w:val="006673F3"/>
    <w:rsid w:val="006A3A27"/>
    <w:rsid w:val="007854A0"/>
    <w:rsid w:val="008312ED"/>
    <w:rsid w:val="008622BC"/>
    <w:rsid w:val="009E7420"/>
    <w:rsid w:val="00A53B45"/>
    <w:rsid w:val="00AC4CD8"/>
    <w:rsid w:val="00AF5D0D"/>
    <w:rsid w:val="00B207AF"/>
    <w:rsid w:val="00BD5C33"/>
    <w:rsid w:val="00C20B98"/>
    <w:rsid w:val="00C47AAD"/>
    <w:rsid w:val="00CB23B8"/>
    <w:rsid w:val="00CC60A0"/>
    <w:rsid w:val="00CE430D"/>
    <w:rsid w:val="00D06375"/>
    <w:rsid w:val="00D104C1"/>
    <w:rsid w:val="00D21629"/>
    <w:rsid w:val="00D325F8"/>
    <w:rsid w:val="00D328C6"/>
    <w:rsid w:val="00D766F8"/>
    <w:rsid w:val="00D843A4"/>
    <w:rsid w:val="00D91F3F"/>
    <w:rsid w:val="00DD4D20"/>
    <w:rsid w:val="00E16ADC"/>
    <w:rsid w:val="00EC57C7"/>
    <w:rsid w:val="00ED2B96"/>
    <w:rsid w:val="00F343B8"/>
    <w:rsid w:val="00F62E6A"/>
    <w:rsid w:val="00FA44C1"/>
    <w:rsid w:val="00FA72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C1"/>
  </w:style>
  <w:style w:type="paragraph" w:styleId="1">
    <w:name w:val="heading 1"/>
    <w:basedOn w:val="a"/>
    <w:next w:val="a"/>
    <w:link w:val="10"/>
    <w:uiPriority w:val="9"/>
    <w:qFormat/>
    <w:rsid w:val="00C47AAD"/>
    <w:pPr>
      <w:keepNext/>
      <w:keepLines/>
      <w:spacing w:before="480" w:after="0" w:line="240" w:lineRule="auto"/>
      <w:outlineLvl w:val="0"/>
    </w:pPr>
    <w:rPr>
      <w:rFonts w:ascii="Cambria" w:eastAsia="Times New Roman" w:hAnsi="Cambria" w:cs="Times New Roman"/>
      <w:b/>
      <w:bCs/>
      <w:color w:val="365F91"/>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EC57C7"/>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34"/>
    <w:qFormat/>
    <w:rsid w:val="00EC57C7"/>
    <w:pPr>
      <w:suppressAutoHyphens/>
      <w:ind w:left="720"/>
      <w:contextualSpacing/>
    </w:pPr>
    <w:rPr>
      <w:rFonts w:cs="Calibri"/>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iPriority w:val="99"/>
    <w:qFormat/>
    <w:rsid w:val="00EC57C7"/>
    <w:pPr>
      <w:suppressAutoHyphens/>
      <w:spacing w:beforeAutospacing="1" w:afterAutospacing="1" w:line="240" w:lineRule="auto"/>
    </w:pPr>
    <w:rPr>
      <w:sz w:val="24"/>
      <w:szCs w:val="24"/>
      <w:lang w:eastAsia="uk-UA"/>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34"/>
    <w:qFormat/>
    <w:locked/>
    <w:rsid w:val="00EC57C7"/>
    <w:rPr>
      <w:rFonts w:cs="Calibri"/>
      <w:lang w:eastAsia="uk-UA"/>
    </w:rPr>
  </w:style>
  <w:style w:type="paragraph" w:styleId="a7">
    <w:name w:val="header"/>
    <w:basedOn w:val="a"/>
    <w:link w:val="a8"/>
    <w:uiPriority w:val="99"/>
    <w:semiHidden/>
    <w:unhideWhenUsed/>
    <w:rsid w:val="00EC57C7"/>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EC57C7"/>
  </w:style>
  <w:style w:type="paragraph" w:styleId="a9">
    <w:name w:val="footer"/>
    <w:basedOn w:val="a"/>
    <w:link w:val="aa"/>
    <w:uiPriority w:val="99"/>
    <w:unhideWhenUsed/>
    <w:rsid w:val="00EC57C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C57C7"/>
  </w:style>
  <w:style w:type="character" w:customStyle="1" w:styleId="10">
    <w:name w:val="Заголовок 1 Знак"/>
    <w:basedOn w:val="a0"/>
    <w:link w:val="1"/>
    <w:uiPriority w:val="9"/>
    <w:rsid w:val="00C47AAD"/>
    <w:rPr>
      <w:rFonts w:ascii="Cambria" w:eastAsia="Times New Roman" w:hAnsi="Cambria" w:cs="Times New Roman"/>
      <w:b/>
      <w:bCs/>
      <w:color w:val="365F91"/>
      <w:sz w:val="28"/>
      <w:szCs w:val="28"/>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9929</Words>
  <Characters>5661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DML1</cp:lastModifiedBy>
  <cp:revision>26</cp:revision>
  <cp:lastPrinted>2023-06-27T15:14:00Z</cp:lastPrinted>
  <dcterms:created xsi:type="dcterms:W3CDTF">2021-12-08T10:22:00Z</dcterms:created>
  <dcterms:modified xsi:type="dcterms:W3CDTF">2023-06-27T15:47:00Z</dcterms:modified>
</cp:coreProperties>
</file>