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BEA" w:rsidRPr="002632B3" w:rsidRDefault="00E87BEA" w:rsidP="00A350B2">
      <w:pPr>
        <w:spacing w:after="0" w:line="240" w:lineRule="auto"/>
        <w:ind w:left="5660"/>
        <w:jc w:val="right"/>
        <w:rPr>
          <w:rFonts w:ascii="Times New Roman" w:eastAsia="Times New Roman" w:hAnsi="Times New Roman" w:cs="Times New Roman"/>
          <w:b/>
          <w:color w:val="000000"/>
          <w:sz w:val="24"/>
          <w:szCs w:val="24"/>
          <w:lang w:val="en-US"/>
        </w:rPr>
      </w:pPr>
    </w:p>
    <w:p w:rsidR="00E87BEA" w:rsidRPr="00A350B2" w:rsidRDefault="008656D5" w:rsidP="00A350B2">
      <w:pPr>
        <w:spacing w:after="0" w:line="240" w:lineRule="auto"/>
        <w:ind w:left="5660"/>
        <w:jc w:val="right"/>
        <w:rPr>
          <w:rFonts w:ascii="Times New Roman" w:eastAsia="Times New Roman" w:hAnsi="Times New Roman" w:cs="Times New Roman"/>
          <w:sz w:val="24"/>
          <w:szCs w:val="24"/>
        </w:rPr>
      </w:pPr>
      <w:r w:rsidRPr="00A350B2">
        <w:rPr>
          <w:rFonts w:ascii="Times New Roman" w:eastAsia="Times New Roman" w:hAnsi="Times New Roman" w:cs="Times New Roman"/>
          <w:b/>
          <w:color w:val="000000"/>
          <w:sz w:val="24"/>
          <w:szCs w:val="24"/>
        </w:rPr>
        <w:t>ДОДАТОК  2</w:t>
      </w:r>
    </w:p>
    <w:p w:rsidR="00E87BEA" w:rsidRPr="00A350B2" w:rsidRDefault="008656D5" w:rsidP="00A350B2">
      <w:pPr>
        <w:spacing w:after="0" w:line="240" w:lineRule="auto"/>
        <w:ind w:left="5660"/>
        <w:jc w:val="right"/>
        <w:rPr>
          <w:rFonts w:ascii="Times New Roman" w:eastAsia="Times New Roman" w:hAnsi="Times New Roman" w:cs="Times New Roman"/>
          <w:color w:val="000000"/>
          <w:sz w:val="24"/>
          <w:szCs w:val="24"/>
        </w:rPr>
      </w:pPr>
      <w:r w:rsidRPr="00A350B2">
        <w:rPr>
          <w:rFonts w:ascii="Times New Roman" w:eastAsia="Times New Roman" w:hAnsi="Times New Roman" w:cs="Times New Roman"/>
          <w:i/>
          <w:color w:val="000000"/>
          <w:sz w:val="24"/>
          <w:szCs w:val="24"/>
        </w:rPr>
        <w:t>до тендерної документації</w:t>
      </w:r>
      <w:r w:rsidRPr="00A350B2">
        <w:rPr>
          <w:rFonts w:ascii="Times New Roman" w:eastAsia="Times New Roman" w:hAnsi="Times New Roman" w:cs="Times New Roman"/>
          <w:color w:val="000000"/>
          <w:sz w:val="24"/>
          <w:szCs w:val="24"/>
        </w:rPr>
        <w:t> </w:t>
      </w:r>
    </w:p>
    <w:p w:rsidR="00655DF3" w:rsidRPr="00A350B2" w:rsidRDefault="00655DF3" w:rsidP="00A350B2">
      <w:pPr>
        <w:spacing w:after="0" w:line="240" w:lineRule="auto"/>
        <w:ind w:left="5660"/>
        <w:jc w:val="right"/>
        <w:rPr>
          <w:rFonts w:ascii="Times New Roman" w:eastAsia="Times New Roman" w:hAnsi="Times New Roman" w:cs="Times New Roman"/>
          <w:sz w:val="24"/>
          <w:szCs w:val="24"/>
        </w:rPr>
      </w:pPr>
    </w:p>
    <w:p w:rsidR="00E87BEA" w:rsidRPr="00E83B86" w:rsidRDefault="008656D5" w:rsidP="00A350B2">
      <w:pPr>
        <w:spacing w:after="0" w:line="240" w:lineRule="auto"/>
        <w:jc w:val="center"/>
        <w:rPr>
          <w:rFonts w:ascii="Times New Roman" w:eastAsia="Times New Roman" w:hAnsi="Times New Roman" w:cs="Times New Roman"/>
          <w:b/>
          <w:color w:val="000000"/>
          <w:sz w:val="24"/>
          <w:szCs w:val="24"/>
        </w:rPr>
      </w:pPr>
      <w:r w:rsidRPr="00E83B86">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87BEA" w:rsidRPr="00A350B2" w:rsidRDefault="00E87BEA" w:rsidP="00A350B2">
      <w:pPr>
        <w:spacing w:after="0" w:line="240" w:lineRule="auto"/>
        <w:jc w:val="center"/>
        <w:rPr>
          <w:rFonts w:ascii="Times New Roman" w:eastAsia="Times New Roman" w:hAnsi="Times New Roman" w:cs="Times New Roman"/>
          <w:b/>
          <w:i/>
          <w:color w:val="000000"/>
          <w:sz w:val="24"/>
          <w:szCs w:val="24"/>
        </w:rPr>
      </w:pPr>
    </w:p>
    <w:p w:rsidR="00A350B2" w:rsidRPr="00A350B2" w:rsidRDefault="00A350B2" w:rsidP="00A350B2">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 xml:space="preserve">Бензин А-95 та дизельне паливо </w:t>
      </w:r>
    </w:p>
    <w:p w:rsidR="00A350B2" w:rsidRPr="00A350B2" w:rsidRDefault="00A350B2" w:rsidP="00A350B2">
      <w:pPr>
        <w:spacing w:after="0" w:line="240" w:lineRule="auto"/>
        <w:jc w:val="center"/>
        <w:rPr>
          <w:rFonts w:ascii="Times New Roman" w:hAnsi="Times New Roman" w:cs="Times New Roman"/>
          <w:b/>
          <w:bCs/>
          <w:spacing w:val="-3"/>
          <w:sz w:val="24"/>
          <w:szCs w:val="24"/>
        </w:rPr>
      </w:pPr>
      <w:r w:rsidRPr="00A350B2">
        <w:rPr>
          <w:rFonts w:ascii="Times New Roman" w:hAnsi="Times New Roman" w:cs="Times New Roman"/>
          <w:b/>
          <w:bCs/>
          <w:spacing w:val="-3"/>
          <w:sz w:val="24"/>
          <w:szCs w:val="24"/>
        </w:rPr>
        <w:t>(за ДК 021:2015: 09130000-9 Нафта і дистиляти)</w:t>
      </w:r>
    </w:p>
    <w:p w:rsidR="00A350B2" w:rsidRPr="00A350B2" w:rsidRDefault="00A350B2" w:rsidP="00A350B2">
      <w:pPr>
        <w:spacing w:after="0" w:line="240" w:lineRule="auto"/>
        <w:jc w:val="center"/>
        <w:rPr>
          <w:rFonts w:ascii="Times New Roman" w:hAnsi="Times New Roman" w:cs="Times New Roman"/>
          <w:b/>
          <w:bCs/>
          <w:spacing w:val="-3"/>
          <w:sz w:val="24"/>
          <w:szCs w:val="24"/>
        </w:rPr>
      </w:pPr>
    </w:p>
    <w:p w:rsidR="00A350B2" w:rsidRPr="00F54C04" w:rsidRDefault="00A350B2" w:rsidP="00A350B2">
      <w:pPr>
        <w:widowControl w:val="0"/>
        <w:numPr>
          <w:ilvl w:val="6"/>
          <w:numId w:val="7"/>
        </w:numPr>
        <w:tabs>
          <w:tab w:val="left" w:pos="993"/>
        </w:tabs>
        <w:spacing w:after="0" w:line="240" w:lineRule="auto"/>
        <w:ind w:left="0" w:firstLine="567"/>
        <w:jc w:val="both"/>
        <w:rPr>
          <w:rFonts w:ascii="Times New Roman" w:eastAsia="Times New Roman" w:hAnsi="Times New Roman" w:cs="Times New Roman"/>
          <w:lang w:eastAsia="uk-UA"/>
        </w:rPr>
      </w:pPr>
      <w:r w:rsidRPr="00F54C04">
        <w:rPr>
          <w:rFonts w:ascii="Times New Roman" w:eastAsia="Times New Roman" w:hAnsi="Times New Roman" w:cs="Times New Roman"/>
          <w:lang w:eastAsia="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tbl>
      <w:tblPr>
        <w:tblW w:w="9788" w:type="dxa"/>
        <w:tblInd w:w="-3" w:type="dxa"/>
        <w:tblBorders>
          <w:top w:val="single" w:sz="2" w:space="0" w:color="000000"/>
          <w:left w:val="single" w:sz="2" w:space="0" w:color="000000"/>
          <w:bottom w:val="single" w:sz="2" w:space="0" w:color="000000"/>
          <w:insideH w:val="single" w:sz="2" w:space="0" w:color="000000"/>
        </w:tblBorders>
        <w:tblLayout w:type="fixed"/>
        <w:tblCellMar>
          <w:left w:w="0" w:type="dxa"/>
          <w:right w:w="0" w:type="dxa"/>
        </w:tblCellMar>
        <w:tblLook w:val="00A0" w:firstRow="1" w:lastRow="0" w:firstColumn="1" w:lastColumn="0" w:noHBand="0" w:noVBand="0"/>
      </w:tblPr>
      <w:tblGrid>
        <w:gridCol w:w="426"/>
        <w:gridCol w:w="1701"/>
        <w:gridCol w:w="2552"/>
        <w:gridCol w:w="2262"/>
        <w:gridCol w:w="1423"/>
        <w:gridCol w:w="1424"/>
      </w:tblGrid>
      <w:tr w:rsidR="00A350B2" w:rsidRPr="00F54C04" w:rsidTr="00CA3F89">
        <w:trPr>
          <w:trHeight w:val="302"/>
        </w:trPr>
        <w:tc>
          <w:tcPr>
            <w:tcW w:w="426"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A350B2" w:rsidRPr="00F54C04" w:rsidRDefault="00A350B2" w:rsidP="00A350B2">
            <w:pPr>
              <w:suppressLineNumbers/>
              <w:spacing w:after="0" w:line="240" w:lineRule="auto"/>
              <w:jc w:val="center"/>
              <w:rPr>
                <w:rFonts w:ascii="Times New Roman" w:eastAsia="Times New Roman" w:hAnsi="Times New Roman" w:cs="Times New Roman"/>
                <w:b/>
                <w:color w:val="00000A"/>
                <w:lang w:eastAsia="zh-CN" w:bidi="hi-IN"/>
              </w:rPr>
            </w:pPr>
            <w:r w:rsidRPr="00F54C04">
              <w:rPr>
                <w:rFonts w:ascii="Times New Roman" w:eastAsia="Times New Roman" w:hAnsi="Times New Roman" w:cs="Times New Roman"/>
                <w:b/>
                <w:color w:val="00000A"/>
                <w:lang w:eastAsia="zh-CN" w:bidi="hi-IN"/>
              </w:rPr>
              <w:t>№</w:t>
            </w:r>
          </w:p>
        </w:tc>
        <w:tc>
          <w:tcPr>
            <w:tcW w:w="4253"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A350B2" w:rsidRPr="00F54C04" w:rsidRDefault="00A350B2" w:rsidP="00A350B2">
            <w:pPr>
              <w:suppressLineNumbers/>
              <w:spacing w:after="0" w:line="240" w:lineRule="auto"/>
              <w:jc w:val="center"/>
              <w:rPr>
                <w:rFonts w:ascii="Times New Roman" w:eastAsia="Times New Roman" w:hAnsi="Times New Roman" w:cs="Times New Roman"/>
                <w:b/>
                <w:color w:val="00000A"/>
                <w:lang w:eastAsia="zh-CN" w:bidi="hi-IN"/>
              </w:rPr>
            </w:pPr>
            <w:r w:rsidRPr="00F54C04">
              <w:rPr>
                <w:rFonts w:ascii="Times New Roman" w:eastAsia="Times New Roman" w:hAnsi="Times New Roman" w:cs="Times New Roman"/>
                <w:b/>
                <w:color w:val="00000A"/>
                <w:lang w:eastAsia="zh-CN" w:bidi="hi-IN"/>
              </w:rPr>
              <w:t xml:space="preserve">Код за </w:t>
            </w:r>
            <w:r w:rsidRPr="00F54C04">
              <w:rPr>
                <w:rFonts w:ascii="Times New Roman" w:eastAsia="Tahoma" w:hAnsi="Times New Roman" w:cs="Times New Roman"/>
                <w:b/>
                <w:kern w:val="2"/>
                <w:lang w:eastAsia="zh-CN" w:bidi="hi-IN"/>
              </w:rPr>
              <w:t>ДК 021:2015</w:t>
            </w:r>
          </w:p>
        </w:tc>
        <w:tc>
          <w:tcPr>
            <w:tcW w:w="2262"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rsidR="00A350B2" w:rsidRPr="00F54C04" w:rsidRDefault="00A350B2" w:rsidP="00A350B2">
            <w:pPr>
              <w:suppressLineNumbers/>
              <w:spacing w:after="0" w:line="240" w:lineRule="auto"/>
              <w:jc w:val="center"/>
              <w:rPr>
                <w:rFonts w:ascii="Times New Roman" w:eastAsia="Times New Roman" w:hAnsi="Times New Roman" w:cs="Times New Roman"/>
                <w:b/>
                <w:color w:val="00000A"/>
                <w:lang w:eastAsia="zh-CN" w:bidi="hi-IN"/>
              </w:rPr>
            </w:pPr>
            <w:r w:rsidRPr="00F54C04">
              <w:rPr>
                <w:rFonts w:ascii="Times New Roman" w:eastAsia="Times New Roman" w:hAnsi="Times New Roman" w:cs="Times New Roman"/>
                <w:b/>
                <w:color w:val="00000A"/>
                <w:lang w:eastAsia="zh-CN" w:bidi="hi-IN"/>
              </w:rPr>
              <w:t>Предмет закупівлі/частини предмета закупівлі</w:t>
            </w:r>
          </w:p>
        </w:tc>
        <w:tc>
          <w:tcPr>
            <w:tcW w:w="142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A350B2" w:rsidRPr="00F54C04" w:rsidRDefault="00A350B2" w:rsidP="00ED4EA9">
            <w:pPr>
              <w:suppressLineNumbers/>
              <w:spacing w:after="0" w:line="240" w:lineRule="auto"/>
              <w:rPr>
                <w:rFonts w:ascii="Times New Roman" w:eastAsia="Times New Roman" w:hAnsi="Times New Roman" w:cs="Times New Roman"/>
                <w:b/>
                <w:color w:val="00000A"/>
                <w:lang w:eastAsia="zh-CN" w:bidi="hi-IN"/>
              </w:rPr>
            </w:pPr>
            <w:r w:rsidRPr="00F54C04">
              <w:rPr>
                <w:rFonts w:ascii="Times New Roman" w:eastAsia="Times New Roman" w:hAnsi="Times New Roman" w:cs="Times New Roman"/>
                <w:b/>
                <w:color w:val="00000A"/>
                <w:lang w:eastAsia="zh-CN" w:bidi="hi-IN"/>
              </w:rPr>
              <w:t>Кількість, л</w:t>
            </w:r>
          </w:p>
        </w:tc>
        <w:tc>
          <w:tcPr>
            <w:tcW w:w="142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A350B2" w:rsidRPr="00F54C04" w:rsidRDefault="00A350B2" w:rsidP="00CA3F89">
            <w:pPr>
              <w:suppressLineNumbers/>
              <w:spacing w:after="0" w:line="240" w:lineRule="auto"/>
              <w:jc w:val="center"/>
              <w:rPr>
                <w:rFonts w:ascii="Times New Roman" w:eastAsia="Times New Roman" w:hAnsi="Times New Roman" w:cs="Times New Roman"/>
                <w:b/>
                <w:color w:val="00000A"/>
                <w:lang w:eastAsia="zh-CN" w:bidi="hi-IN"/>
              </w:rPr>
            </w:pPr>
            <w:r w:rsidRPr="00F54C04">
              <w:rPr>
                <w:rFonts w:ascii="Times New Roman" w:eastAsia="Times New Roman" w:hAnsi="Times New Roman" w:cs="Times New Roman"/>
                <w:b/>
                <w:color w:val="00000A"/>
                <w:lang w:eastAsia="zh-CN" w:bidi="hi-IN"/>
              </w:rPr>
              <w:t>Вид постачання</w:t>
            </w:r>
          </w:p>
        </w:tc>
      </w:tr>
      <w:tr w:rsidR="00A350B2" w:rsidRPr="00F54C04" w:rsidTr="00030089">
        <w:trPr>
          <w:trHeight w:val="20"/>
        </w:trPr>
        <w:tc>
          <w:tcPr>
            <w:tcW w:w="426" w:type="dxa"/>
            <w:tcBorders>
              <w:top w:val="single" w:sz="2" w:space="0" w:color="000000"/>
              <w:left w:val="single" w:sz="2" w:space="0" w:color="000000"/>
              <w:bottom w:val="single" w:sz="2" w:space="0" w:color="000000"/>
              <w:right w:val="nil"/>
            </w:tcBorders>
            <w:vAlign w:val="center"/>
            <w:hideMark/>
          </w:tcPr>
          <w:p w:rsidR="00A350B2" w:rsidRPr="00F54C04" w:rsidRDefault="00A350B2" w:rsidP="00A350B2">
            <w:pPr>
              <w:suppressLineNumbers/>
              <w:spacing w:after="0" w:line="240" w:lineRule="auto"/>
              <w:ind w:left="-282" w:firstLine="282"/>
              <w:jc w:val="center"/>
              <w:rPr>
                <w:rFonts w:ascii="Times New Roman" w:eastAsia="Times New Roman" w:hAnsi="Times New Roman" w:cs="Times New Roman"/>
                <w:color w:val="00000A"/>
                <w:lang w:eastAsia="zh-CN" w:bidi="hi-IN"/>
              </w:rPr>
            </w:pPr>
            <w:r w:rsidRPr="00F54C04">
              <w:rPr>
                <w:rFonts w:ascii="Times New Roman" w:eastAsia="Times New Roman" w:hAnsi="Times New Roman" w:cs="Times New Roman"/>
                <w:color w:val="00000A"/>
                <w:lang w:eastAsia="zh-CN" w:bidi="hi-IN"/>
              </w:rPr>
              <w:t>1</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hideMark/>
          </w:tcPr>
          <w:p w:rsidR="00A350B2" w:rsidRPr="00F54C04" w:rsidRDefault="00A350B2" w:rsidP="00A350B2">
            <w:pPr>
              <w:keepNext/>
              <w:numPr>
                <w:ilvl w:val="5"/>
                <w:numId w:val="6"/>
              </w:numPr>
              <w:suppressAutoHyphens/>
              <w:spacing w:after="0" w:line="240" w:lineRule="auto"/>
              <w:ind w:left="0" w:firstLine="0"/>
              <w:jc w:val="center"/>
              <w:outlineLvl w:val="5"/>
              <w:rPr>
                <w:rFonts w:ascii="Times New Roman" w:eastAsia="Times New Roman" w:hAnsi="Times New Roman" w:cs="Times New Roman"/>
              </w:rPr>
            </w:pPr>
            <w:r w:rsidRPr="00F54C04">
              <w:rPr>
                <w:rFonts w:ascii="Times New Roman" w:eastAsia="Tahoma" w:hAnsi="Times New Roman" w:cs="Times New Roman"/>
                <w:kern w:val="2"/>
                <w:lang w:eastAsia="zh-CN" w:bidi="hi-IN"/>
              </w:rPr>
              <w:t>09130000-9</w:t>
            </w:r>
            <w:r w:rsidRPr="00F54C04">
              <w:rPr>
                <w:rFonts w:ascii="Times New Roman" w:eastAsia="Tahoma" w:hAnsi="Times New Roman" w:cs="Times New Roman"/>
                <w:color w:val="00000A"/>
                <w:kern w:val="2"/>
                <w:lang w:eastAsia="zh-CN" w:bidi="hi-IN"/>
              </w:rPr>
              <w:t xml:space="preserve"> </w:t>
            </w:r>
          </w:p>
          <w:p w:rsidR="00A350B2" w:rsidRPr="00F54C04" w:rsidRDefault="00A350B2" w:rsidP="00A350B2">
            <w:pPr>
              <w:keepNext/>
              <w:numPr>
                <w:ilvl w:val="5"/>
                <w:numId w:val="6"/>
              </w:numPr>
              <w:suppressAutoHyphens/>
              <w:spacing w:after="0" w:line="240" w:lineRule="auto"/>
              <w:ind w:left="0" w:firstLine="0"/>
              <w:jc w:val="center"/>
              <w:outlineLvl w:val="5"/>
              <w:rPr>
                <w:rFonts w:ascii="Times New Roman" w:eastAsia="Times New Roman" w:hAnsi="Times New Roman" w:cs="Times New Roman"/>
              </w:rPr>
            </w:pPr>
            <w:r w:rsidRPr="00F54C04">
              <w:rPr>
                <w:rFonts w:ascii="Times New Roman" w:eastAsia="Tahoma" w:hAnsi="Times New Roman" w:cs="Times New Roman"/>
                <w:color w:val="00000A"/>
                <w:kern w:val="2"/>
                <w:lang w:eastAsia="zh-CN" w:bidi="hi-IN"/>
              </w:rPr>
              <w:t>«</w:t>
            </w:r>
            <w:r w:rsidRPr="00F54C04">
              <w:rPr>
                <w:rFonts w:ascii="Times New Roman" w:eastAsia="Tahoma" w:hAnsi="Times New Roman" w:cs="Times New Roman"/>
                <w:kern w:val="2"/>
                <w:lang w:eastAsia="zh-CN" w:bidi="hi-IN"/>
              </w:rPr>
              <w:t xml:space="preserve">Нафта і дистиляти» </w:t>
            </w:r>
          </w:p>
        </w:tc>
        <w:tc>
          <w:tcPr>
            <w:tcW w:w="2552" w:type="dxa"/>
            <w:tcBorders>
              <w:top w:val="single" w:sz="2" w:space="0" w:color="000000"/>
              <w:left w:val="single" w:sz="2" w:space="0" w:color="000000"/>
              <w:bottom w:val="single" w:sz="2" w:space="0" w:color="000000"/>
              <w:right w:val="single" w:sz="2" w:space="0" w:color="000000"/>
            </w:tcBorders>
            <w:vAlign w:val="center"/>
          </w:tcPr>
          <w:p w:rsidR="00A350B2" w:rsidRPr="00F54C04" w:rsidRDefault="00A350B2" w:rsidP="00A350B2">
            <w:pPr>
              <w:spacing w:after="0" w:line="240" w:lineRule="auto"/>
              <w:ind w:left="142" w:right="141"/>
              <w:jc w:val="center"/>
              <w:rPr>
                <w:rFonts w:ascii="Times New Roman" w:eastAsia="Times New Roman" w:hAnsi="Times New Roman" w:cs="Times New Roman"/>
              </w:rPr>
            </w:pPr>
            <w:r w:rsidRPr="00F54C04">
              <w:rPr>
                <w:rFonts w:ascii="Times New Roman" w:eastAsia="Times New Roman" w:hAnsi="Times New Roman" w:cs="Times New Roman"/>
              </w:rPr>
              <w:t>09132000-3 «Бензин»</w:t>
            </w:r>
          </w:p>
        </w:tc>
        <w:tc>
          <w:tcPr>
            <w:tcW w:w="2262" w:type="dxa"/>
            <w:tcBorders>
              <w:top w:val="single" w:sz="2" w:space="0" w:color="000000"/>
              <w:left w:val="single" w:sz="2" w:space="0" w:color="000000"/>
              <w:bottom w:val="single" w:sz="2" w:space="0" w:color="000000"/>
              <w:right w:val="nil"/>
            </w:tcBorders>
            <w:vAlign w:val="center"/>
            <w:hideMark/>
          </w:tcPr>
          <w:p w:rsidR="00A350B2" w:rsidRPr="00F54C04" w:rsidRDefault="00A350B2" w:rsidP="00A350B2">
            <w:pPr>
              <w:spacing w:after="0" w:line="240" w:lineRule="auto"/>
              <w:ind w:left="141" w:right="143"/>
              <w:jc w:val="center"/>
              <w:rPr>
                <w:rFonts w:ascii="Times New Roman" w:eastAsia="Times New Roman" w:hAnsi="Times New Roman" w:cs="Times New Roman"/>
              </w:rPr>
            </w:pPr>
            <w:r w:rsidRPr="00F54C04">
              <w:rPr>
                <w:rFonts w:ascii="Times New Roman" w:eastAsia="Times New Roman" w:hAnsi="Times New Roman" w:cs="Times New Roman"/>
              </w:rPr>
              <w:t>Бензин А-95 Євро</w:t>
            </w:r>
            <w:r w:rsidR="000C0A80" w:rsidRPr="00F54C04">
              <w:rPr>
                <w:rFonts w:ascii="Times New Roman" w:eastAsia="Times New Roman" w:hAnsi="Times New Roman" w:cs="Times New Roman"/>
              </w:rPr>
              <w:t xml:space="preserve"> </w:t>
            </w:r>
            <w:r w:rsidRPr="00F54C04">
              <w:rPr>
                <w:rFonts w:ascii="Times New Roman" w:eastAsia="Times New Roman" w:hAnsi="Times New Roman" w:cs="Times New Roman"/>
              </w:rPr>
              <w:t>5</w:t>
            </w:r>
          </w:p>
          <w:p w:rsidR="00A350B2" w:rsidRPr="00F54C04" w:rsidRDefault="00A350B2" w:rsidP="00A350B2">
            <w:pPr>
              <w:spacing w:after="0" w:line="240" w:lineRule="auto"/>
              <w:ind w:left="141" w:right="143"/>
              <w:jc w:val="center"/>
              <w:rPr>
                <w:rFonts w:ascii="Times New Roman" w:eastAsia="Times New Roman" w:hAnsi="Times New Roman" w:cs="Times New Roman"/>
              </w:rPr>
            </w:pPr>
          </w:p>
        </w:tc>
        <w:tc>
          <w:tcPr>
            <w:tcW w:w="1423" w:type="dxa"/>
            <w:tcBorders>
              <w:top w:val="single" w:sz="2" w:space="0" w:color="000000"/>
              <w:left w:val="single" w:sz="2" w:space="0" w:color="000000"/>
              <w:bottom w:val="single" w:sz="2" w:space="0" w:color="000000"/>
              <w:right w:val="single" w:sz="2" w:space="0" w:color="000000"/>
            </w:tcBorders>
            <w:vAlign w:val="center"/>
          </w:tcPr>
          <w:p w:rsidR="00A350B2" w:rsidRPr="00F54C04" w:rsidRDefault="00354594" w:rsidP="00ED4EA9">
            <w:pPr>
              <w:suppressLineNumber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19135</w:t>
            </w:r>
          </w:p>
        </w:tc>
        <w:tc>
          <w:tcPr>
            <w:tcW w:w="1424" w:type="dxa"/>
            <w:tcBorders>
              <w:top w:val="single" w:sz="2" w:space="0" w:color="000000"/>
              <w:left w:val="single" w:sz="2" w:space="0" w:color="000000"/>
              <w:bottom w:val="single" w:sz="2" w:space="0" w:color="000000"/>
              <w:right w:val="single" w:sz="2" w:space="0" w:color="000000"/>
            </w:tcBorders>
            <w:vAlign w:val="center"/>
            <w:hideMark/>
          </w:tcPr>
          <w:p w:rsidR="00A350B2" w:rsidRPr="00810C74" w:rsidRDefault="00810C74" w:rsidP="00CA3F89">
            <w:pPr>
              <w:suppressLineNumbers/>
              <w:spacing w:after="0" w:line="240" w:lineRule="auto"/>
              <w:jc w:val="center"/>
              <w:rPr>
                <w:rFonts w:ascii="Times New Roman" w:eastAsia="Times New Roman" w:hAnsi="Times New Roman" w:cs="Times New Roman"/>
                <w:color w:val="00000A"/>
                <w:lang w:eastAsia="zh-CN" w:bidi="hi-IN"/>
              </w:rPr>
            </w:pPr>
            <w:r w:rsidRPr="00810C74">
              <w:rPr>
                <w:rFonts w:ascii="Times New Roman" w:hAnsi="Times New Roman" w:cs="Times New Roman"/>
                <w:color w:val="000000"/>
              </w:rPr>
              <w:t>скретч-картки та/або талони</w:t>
            </w:r>
          </w:p>
        </w:tc>
      </w:tr>
      <w:tr w:rsidR="00A350B2" w:rsidRPr="00F54C04" w:rsidTr="00030089">
        <w:trPr>
          <w:trHeight w:val="422"/>
        </w:trPr>
        <w:tc>
          <w:tcPr>
            <w:tcW w:w="426" w:type="dxa"/>
            <w:tcBorders>
              <w:top w:val="single" w:sz="2" w:space="0" w:color="000000"/>
              <w:left w:val="single" w:sz="2" w:space="0" w:color="000000"/>
              <w:bottom w:val="single" w:sz="2" w:space="0" w:color="000000"/>
              <w:right w:val="nil"/>
            </w:tcBorders>
            <w:vAlign w:val="center"/>
            <w:hideMark/>
          </w:tcPr>
          <w:p w:rsidR="00A350B2" w:rsidRPr="00F54C04" w:rsidRDefault="00A350B2" w:rsidP="00A350B2">
            <w:pPr>
              <w:suppressLineNumbers/>
              <w:spacing w:after="0" w:line="240" w:lineRule="auto"/>
              <w:jc w:val="center"/>
              <w:rPr>
                <w:rFonts w:ascii="Times New Roman" w:eastAsia="Times New Roman" w:hAnsi="Times New Roman" w:cs="Times New Roman"/>
                <w:color w:val="00000A"/>
                <w:lang w:eastAsia="zh-CN" w:bidi="hi-IN"/>
              </w:rPr>
            </w:pPr>
            <w:r w:rsidRPr="00F54C04">
              <w:rPr>
                <w:rFonts w:ascii="Times New Roman" w:eastAsia="Times New Roman" w:hAnsi="Times New Roman" w:cs="Times New Roman"/>
                <w:color w:val="00000A"/>
                <w:lang w:eastAsia="zh-CN" w:bidi="hi-IN"/>
              </w:rPr>
              <w:t>2</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A350B2" w:rsidRPr="00F54C04" w:rsidRDefault="00A350B2" w:rsidP="00A350B2">
            <w:pPr>
              <w:spacing w:after="0" w:line="240" w:lineRule="auto"/>
              <w:rPr>
                <w:rFonts w:ascii="Times New Roman" w:eastAsia="Times New Roman" w:hAnsi="Times New Roman" w:cs="Times New Roman"/>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A350B2" w:rsidRPr="00F54C04" w:rsidRDefault="00A350B2" w:rsidP="00030089">
            <w:pPr>
              <w:suppressLineNumbers/>
              <w:tabs>
                <w:tab w:val="left" w:pos="2693"/>
              </w:tabs>
              <w:spacing w:after="0" w:line="240" w:lineRule="auto"/>
              <w:ind w:left="142" w:right="141"/>
              <w:jc w:val="center"/>
              <w:rPr>
                <w:rFonts w:ascii="Times New Roman" w:eastAsia="Times New Roman" w:hAnsi="Times New Roman" w:cs="Times New Roman"/>
                <w:lang w:eastAsia="zh-CN" w:bidi="hi-IN"/>
              </w:rPr>
            </w:pPr>
            <w:r w:rsidRPr="00F54C04">
              <w:rPr>
                <w:rFonts w:ascii="Times New Roman" w:eastAsia="Times New Roman" w:hAnsi="Times New Roman" w:cs="Times New Roman"/>
                <w:lang w:eastAsia="zh-CN" w:bidi="hi-IN"/>
              </w:rPr>
              <w:t>09134200-9 «Дизельне паливо»</w:t>
            </w:r>
          </w:p>
        </w:tc>
        <w:tc>
          <w:tcPr>
            <w:tcW w:w="2262" w:type="dxa"/>
            <w:tcBorders>
              <w:top w:val="single" w:sz="2" w:space="0" w:color="000000"/>
              <w:left w:val="single" w:sz="2" w:space="0" w:color="000000"/>
              <w:bottom w:val="single" w:sz="2" w:space="0" w:color="000000"/>
              <w:right w:val="nil"/>
            </w:tcBorders>
            <w:vAlign w:val="center"/>
            <w:hideMark/>
          </w:tcPr>
          <w:p w:rsidR="00A350B2" w:rsidRPr="00F54C04" w:rsidRDefault="00A350B2" w:rsidP="00A350B2">
            <w:pPr>
              <w:suppressLineNumbers/>
              <w:tabs>
                <w:tab w:val="left" w:pos="2693"/>
              </w:tabs>
              <w:spacing w:after="0" w:line="240" w:lineRule="auto"/>
              <w:ind w:left="141" w:right="283"/>
              <w:jc w:val="center"/>
              <w:rPr>
                <w:rFonts w:ascii="Times New Roman" w:eastAsia="Times New Roman" w:hAnsi="Times New Roman" w:cs="Times New Roman"/>
                <w:lang w:eastAsia="zh-CN" w:bidi="hi-IN"/>
              </w:rPr>
            </w:pPr>
            <w:r w:rsidRPr="00F54C04">
              <w:rPr>
                <w:rFonts w:ascii="Times New Roman" w:eastAsia="Times New Roman" w:hAnsi="Times New Roman" w:cs="Times New Roman"/>
                <w:lang w:eastAsia="zh-CN" w:bidi="hi-IN"/>
              </w:rPr>
              <w:t>Дизельне паливо Євро</w:t>
            </w:r>
            <w:r w:rsidR="000C0A80" w:rsidRPr="00F54C04">
              <w:rPr>
                <w:rFonts w:ascii="Times New Roman" w:eastAsia="Times New Roman" w:hAnsi="Times New Roman" w:cs="Times New Roman"/>
                <w:lang w:eastAsia="zh-CN" w:bidi="hi-IN"/>
              </w:rPr>
              <w:t xml:space="preserve"> </w:t>
            </w:r>
            <w:r w:rsidRPr="00F54C04">
              <w:rPr>
                <w:rFonts w:ascii="Times New Roman" w:eastAsia="Times New Roman" w:hAnsi="Times New Roman" w:cs="Times New Roman"/>
                <w:lang w:eastAsia="zh-CN" w:bidi="hi-IN"/>
              </w:rPr>
              <w:t>5</w:t>
            </w:r>
          </w:p>
        </w:tc>
        <w:tc>
          <w:tcPr>
            <w:tcW w:w="1423" w:type="dxa"/>
            <w:tcBorders>
              <w:top w:val="single" w:sz="2" w:space="0" w:color="000000"/>
              <w:left w:val="single" w:sz="2" w:space="0" w:color="000000"/>
              <w:bottom w:val="single" w:sz="2" w:space="0" w:color="000000"/>
              <w:right w:val="single" w:sz="2" w:space="0" w:color="000000"/>
            </w:tcBorders>
            <w:vAlign w:val="center"/>
          </w:tcPr>
          <w:p w:rsidR="00A350B2" w:rsidRPr="00F54C04" w:rsidRDefault="00ED4EA9" w:rsidP="00ED4EA9">
            <w:pPr>
              <w:suppressLineNumber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34</w:t>
            </w:r>
            <w:r w:rsidR="004F7434">
              <w:rPr>
                <w:rFonts w:ascii="Times New Roman" w:eastAsia="Times New Roman" w:hAnsi="Times New Roman" w:cs="Times New Roman"/>
                <w:lang w:eastAsia="zh-CN" w:bidi="hi-IN"/>
              </w:rPr>
              <w:t>5</w:t>
            </w:r>
          </w:p>
        </w:tc>
        <w:tc>
          <w:tcPr>
            <w:tcW w:w="1424" w:type="dxa"/>
            <w:tcBorders>
              <w:top w:val="single" w:sz="2" w:space="0" w:color="000000"/>
              <w:left w:val="single" w:sz="2" w:space="0" w:color="000000"/>
              <w:bottom w:val="single" w:sz="2" w:space="0" w:color="000000"/>
              <w:right w:val="single" w:sz="2" w:space="0" w:color="000000"/>
            </w:tcBorders>
            <w:vAlign w:val="center"/>
            <w:hideMark/>
          </w:tcPr>
          <w:p w:rsidR="00A350B2" w:rsidRPr="00F54C04" w:rsidRDefault="00810C74" w:rsidP="00CA3F89">
            <w:pPr>
              <w:suppressLineNumbers/>
              <w:spacing w:after="0" w:line="240" w:lineRule="auto"/>
              <w:jc w:val="center"/>
              <w:rPr>
                <w:rFonts w:ascii="Times New Roman" w:eastAsia="Times New Roman" w:hAnsi="Times New Roman" w:cs="Times New Roman"/>
                <w:bCs/>
                <w:color w:val="00000A"/>
                <w:lang w:eastAsia="zh-CN" w:bidi="hi-IN"/>
              </w:rPr>
            </w:pPr>
            <w:r w:rsidRPr="00810C74">
              <w:rPr>
                <w:rFonts w:ascii="Times New Roman" w:hAnsi="Times New Roman" w:cs="Times New Roman"/>
                <w:color w:val="000000"/>
              </w:rPr>
              <w:t>скретч-картки та/або талони</w:t>
            </w:r>
          </w:p>
        </w:tc>
      </w:tr>
    </w:tbl>
    <w:p w:rsidR="00A350B2" w:rsidRPr="000B7A61" w:rsidRDefault="00A350B2" w:rsidP="00A350B2">
      <w:pPr>
        <w:autoSpaceDE w:val="0"/>
        <w:autoSpaceDN w:val="0"/>
        <w:adjustRightInd w:val="0"/>
        <w:spacing w:after="0" w:line="240" w:lineRule="auto"/>
        <w:rPr>
          <w:rFonts w:ascii="Times New Roman" w:eastAsia="Times New Roman" w:hAnsi="Times New Roman" w:cs="Times New Roman"/>
          <w:sz w:val="10"/>
          <w:szCs w:val="10"/>
        </w:rPr>
      </w:pPr>
    </w:p>
    <w:p w:rsidR="00A350B2" w:rsidRPr="00F54C04"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F54C04">
        <w:rPr>
          <w:rFonts w:ascii="Times New Roman" w:eastAsia="Times New Roman" w:hAnsi="Times New Roman" w:cs="Times New Roman"/>
        </w:rPr>
        <w:t xml:space="preserve"> 2. Якість нафтопродуктів повинна бути підтверджена завіреними копіями паспортів та сертифікатів відповідності. Бензин та дизельне паливо, що є предметом закупівлі, повинен відповідати:</w:t>
      </w:r>
    </w:p>
    <w:p w:rsidR="00A350B2" w:rsidRPr="00F54C04"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F54C04">
        <w:rPr>
          <w:rFonts w:ascii="Times New Roman" w:eastAsia="Times New Roman" w:hAnsi="Times New Roman" w:cs="Times New Roman"/>
        </w:rPr>
        <w:t>- бензин А-9</w:t>
      </w:r>
      <w:r w:rsidR="004F7434">
        <w:rPr>
          <w:rFonts w:ascii="Times New Roman" w:eastAsia="Times New Roman" w:hAnsi="Times New Roman" w:cs="Times New Roman"/>
        </w:rPr>
        <w:t>5</w:t>
      </w:r>
      <w:r w:rsidRPr="00F54C04">
        <w:rPr>
          <w:rFonts w:ascii="Times New Roman" w:eastAsia="Times New Roman" w:hAnsi="Times New Roman" w:cs="Times New Roman"/>
        </w:rPr>
        <w:t xml:space="preserve"> Євро5 (або еквівалент) - 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A350B2" w:rsidRPr="00F54C04"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F54C04">
        <w:rPr>
          <w:rFonts w:ascii="Times New Roman" w:eastAsia="Times New Roman" w:hAnsi="Times New Roman" w:cs="Times New Roman"/>
        </w:rPr>
        <w:t>- дизельне паливо Євро5 (або еквівалент) - ДСТУ 7688:2015 «Паливо дизельне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Дизельне паливо повинно бути літнім або зимовим відповідно до сезону.</w:t>
      </w:r>
    </w:p>
    <w:p w:rsidR="00A350B2" w:rsidRPr="008611A3" w:rsidRDefault="00A350B2" w:rsidP="008611A3">
      <w:pPr>
        <w:widowControl w:val="0"/>
        <w:ind w:firstLine="426"/>
        <w:contextualSpacing/>
        <w:jc w:val="both"/>
        <w:rPr>
          <w:rFonts w:ascii="Times New Roman" w:hAnsi="Times New Roman" w:cs="Times New Roman"/>
          <w:color w:val="000000"/>
          <w:sz w:val="24"/>
          <w:szCs w:val="24"/>
        </w:rPr>
      </w:pPr>
      <w:r w:rsidRPr="008611A3">
        <w:rPr>
          <w:rFonts w:ascii="Times New Roman" w:hAnsi="Times New Roman" w:cs="Times New Roman"/>
        </w:rPr>
        <w:t>3. Поставка т</w:t>
      </w:r>
      <w:r w:rsidR="00810C74">
        <w:rPr>
          <w:rFonts w:ascii="Times New Roman" w:hAnsi="Times New Roman" w:cs="Times New Roman"/>
        </w:rPr>
        <w:t>овару</w:t>
      </w:r>
      <w:r w:rsidRPr="008611A3">
        <w:rPr>
          <w:rFonts w:ascii="Times New Roman" w:hAnsi="Times New Roman" w:cs="Times New Roman"/>
        </w:rPr>
        <w:t xml:space="preserve"> від Учасника Замовнику проводиться частинами за письмовим узгодженням сторін. Адреса поставки: </w:t>
      </w:r>
      <w:r w:rsidR="008611A3" w:rsidRPr="008611A3">
        <w:rPr>
          <w:rFonts w:ascii="Times New Roman" w:hAnsi="Times New Roman" w:cs="Times New Roman"/>
          <w:color w:val="000000"/>
          <w:sz w:val="24"/>
          <w:szCs w:val="24"/>
        </w:rPr>
        <w:t>22800, Україна, Вінницька обл., м. Немирів, вул. Гімназійна, 27</w:t>
      </w:r>
      <w:r w:rsidRPr="008611A3">
        <w:rPr>
          <w:rFonts w:ascii="Times New Roman" w:hAnsi="Times New Roman" w:cs="Times New Roman"/>
        </w:rPr>
        <w:t>.</w:t>
      </w:r>
      <w:r w:rsidR="00A50E1B" w:rsidRPr="008611A3">
        <w:rPr>
          <w:rFonts w:ascii="Times New Roman" w:hAnsi="Times New Roman" w:cs="Times New Roman"/>
        </w:rPr>
        <w:t xml:space="preserve"> Відпуск нафтопродуктів Замовнику здійснюється </w:t>
      </w:r>
      <w:r w:rsidR="00A50E1B" w:rsidRPr="008611A3">
        <w:rPr>
          <w:rFonts w:ascii="Times New Roman" w:hAnsi="Times New Roman" w:cs="Times New Roman"/>
          <w:u w:val="single"/>
        </w:rPr>
        <w:t>цілодобово</w:t>
      </w:r>
      <w:r w:rsidR="00A50E1B" w:rsidRPr="008611A3">
        <w:rPr>
          <w:rFonts w:ascii="Times New Roman" w:hAnsi="Times New Roman" w:cs="Times New Roman"/>
        </w:rPr>
        <w:t xml:space="preserve"> по бланках дозволу (талонах) єдиного зразку, що є підставою для відвантаження нафтопродуктів з усіх АЗС. Заправка автотранспорту </w:t>
      </w:r>
      <w:r w:rsidR="00A50E1B" w:rsidRPr="008611A3">
        <w:rPr>
          <w:rFonts w:ascii="Times New Roman" w:hAnsi="Times New Roman" w:cs="Times New Roman"/>
          <w:u w:val="single"/>
        </w:rPr>
        <w:t>здійснюється відповідно до потреб Замовника</w:t>
      </w:r>
      <w:r w:rsidR="00A50E1B" w:rsidRPr="008611A3">
        <w:rPr>
          <w:rFonts w:ascii="Times New Roman" w:hAnsi="Times New Roman" w:cs="Times New Roman"/>
        </w:rPr>
        <w:t>.</w:t>
      </w:r>
    </w:p>
    <w:p w:rsidR="00A350B2" w:rsidRPr="000B7A61"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F54C04">
        <w:rPr>
          <w:rFonts w:ascii="Times New Roman" w:eastAsia="Times New Roman" w:hAnsi="Times New Roman" w:cs="Times New Roman"/>
        </w:rPr>
        <w:t>4.</w:t>
      </w:r>
      <w:r w:rsidR="00810C74">
        <w:rPr>
          <w:rFonts w:ascii="Times New Roman" w:eastAsia="Times New Roman" w:hAnsi="Times New Roman" w:cs="Times New Roman"/>
        </w:rPr>
        <w:t xml:space="preserve"> </w:t>
      </w:r>
      <w:r w:rsidR="00810C74">
        <w:rPr>
          <w:rFonts w:ascii="Times New Roman" w:hAnsi="Times New Roman" w:cs="Times New Roman"/>
          <w:color w:val="000000"/>
        </w:rPr>
        <w:t>С</w:t>
      </w:r>
      <w:r w:rsidR="00810C74" w:rsidRPr="00810C74">
        <w:rPr>
          <w:rFonts w:ascii="Times New Roman" w:hAnsi="Times New Roman" w:cs="Times New Roman"/>
          <w:color w:val="000000"/>
        </w:rPr>
        <w:t>кретч-картки та/або талони</w:t>
      </w:r>
      <w:r w:rsidRPr="00F54C04">
        <w:rPr>
          <w:rFonts w:ascii="Times New Roman" w:eastAsia="Times New Roman" w:hAnsi="Times New Roman" w:cs="Times New Roman"/>
        </w:rPr>
        <w:t xml:space="preserve"> повинні бути єдиного зразка, номіналом 5, 10 та 20 літрі</w:t>
      </w:r>
      <w:r w:rsidR="004F7434">
        <w:rPr>
          <w:rFonts w:ascii="Times New Roman" w:eastAsia="Times New Roman" w:hAnsi="Times New Roman" w:cs="Times New Roman"/>
        </w:rPr>
        <w:t>в</w:t>
      </w:r>
      <w:bookmarkStart w:id="0" w:name="_GoBack"/>
      <w:bookmarkEnd w:id="0"/>
      <w:r w:rsidRPr="00F54C04">
        <w:rPr>
          <w:rFonts w:ascii="Times New Roman" w:eastAsia="Times New Roman" w:hAnsi="Times New Roman" w:cs="Times New Roman"/>
        </w:rPr>
        <w:t xml:space="preserve">, мати термін дії не менше ніж три місяці з моменту їх отримання та гарантоване </w:t>
      </w:r>
      <w:r w:rsidRPr="000B7A61">
        <w:rPr>
          <w:rFonts w:ascii="Times New Roman" w:eastAsia="Times New Roman" w:hAnsi="Times New Roman" w:cs="Times New Roman"/>
        </w:rPr>
        <w:t xml:space="preserve">продовження їх терміну на один рік. </w:t>
      </w:r>
      <w:r w:rsidR="00290F38" w:rsidRPr="000B7A61">
        <w:rPr>
          <w:rFonts w:ascii="Times New Roman" w:eastAsia="Times New Roman" w:hAnsi="Times New Roman" w:cs="Times New Roman"/>
        </w:rPr>
        <w:t>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 (надати гарантійний лист).</w:t>
      </w:r>
    </w:p>
    <w:p w:rsidR="00A350B2" w:rsidRPr="000B7A61"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0B7A61">
        <w:rPr>
          <w:rFonts w:ascii="Times New Roman" w:eastAsia="Times New Roman" w:hAnsi="Times New Roman" w:cs="Times New Roman"/>
        </w:rPr>
        <w:t xml:space="preserve">4.1. У складі пропозиції Учасник повинен надати лист-гарантію про дійсність </w:t>
      </w:r>
      <w:r w:rsidR="00810C74" w:rsidRPr="00810C74">
        <w:rPr>
          <w:rFonts w:ascii="Times New Roman" w:hAnsi="Times New Roman" w:cs="Times New Roman"/>
          <w:color w:val="000000"/>
        </w:rPr>
        <w:t>скретч-картки та/або талон</w:t>
      </w:r>
      <w:r w:rsidR="004F7434">
        <w:rPr>
          <w:rFonts w:ascii="Times New Roman" w:hAnsi="Times New Roman" w:cs="Times New Roman"/>
          <w:color w:val="000000"/>
        </w:rPr>
        <w:t>ів</w:t>
      </w:r>
      <w:r w:rsidRPr="000B7A61">
        <w:rPr>
          <w:rFonts w:ascii="Times New Roman" w:eastAsia="Times New Roman" w:hAnsi="Times New Roman" w:cs="Times New Roman"/>
        </w:rPr>
        <w:t xml:space="preserve"> на території України строком не менше трьох місяців та гарантоване подовження терміну дії талонів не менше ніж на один рік від дати передачі Замовнику. </w:t>
      </w:r>
    </w:p>
    <w:p w:rsidR="00A350B2" w:rsidRPr="000B7A61"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0B7A61">
        <w:rPr>
          <w:rFonts w:ascii="Times New Roman" w:eastAsia="Times New Roman" w:hAnsi="Times New Roman" w:cs="Times New Roman"/>
        </w:rPr>
        <w:t xml:space="preserve">4.2. </w:t>
      </w:r>
      <w:r w:rsidR="00810C74">
        <w:rPr>
          <w:rFonts w:ascii="Times New Roman" w:hAnsi="Times New Roman" w:cs="Times New Roman"/>
          <w:color w:val="000000"/>
        </w:rPr>
        <w:t>С</w:t>
      </w:r>
      <w:r w:rsidR="00810C74" w:rsidRPr="00810C74">
        <w:rPr>
          <w:rFonts w:ascii="Times New Roman" w:hAnsi="Times New Roman" w:cs="Times New Roman"/>
          <w:color w:val="000000"/>
        </w:rPr>
        <w:t>кретч-картки та/або талони</w:t>
      </w:r>
      <w:r w:rsidR="00810C74" w:rsidRPr="000B7A61">
        <w:rPr>
          <w:rFonts w:ascii="Times New Roman" w:eastAsia="Times New Roman" w:hAnsi="Times New Roman" w:cs="Times New Roman"/>
        </w:rPr>
        <w:t xml:space="preserve"> </w:t>
      </w:r>
      <w:r w:rsidRPr="000B7A61">
        <w:rPr>
          <w:rFonts w:ascii="Times New Roman" w:eastAsia="Times New Roman" w:hAnsi="Times New Roman" w:cs="Times New Roman"/>
        </w:rPr>
        <w:t>єдиного уніфікованого зразка мають бути дійсними по всій території України на усіх АЗС Учасника, або партнерів згідно діючих Договорів.</w:t>
      </w:r>
    </w:p>
    <w:p w:rsidR="00A350B2" w:rsidRPr="000B7A61"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0B7A61">
        <w:rPr>
          <w:rFonts w:ascii="Times New Roman" w:eastAsia="Times New Roman" w:hAnsi="Times New Roman" w:cs="Times New Roman"/>
        </w:rPr>
        <w:t xml:space="preserve">5. Учасник повинен підтвердити можливість обміну </w:t>
      </w:r>
      <w:r w:rsidR="00810C74" w:rsidRPr="00810C74">
        <w:rPr>
          <w:rFonts w:ascii="Times New Roman" w:hAnsi="Times New Roman" w:cs="Times New Roman"/>
          <w:color w:val="000000"/>
        </w:rPr>
        <w:t>скретч-картки та/або талони</w:t>
      </w:r>
      <w:r w:rsidR="00810C74" w:rsidRPr="000B7A61">
        <w:rPr>
          <w:rFonts w:ascii="Times New Roman" w:eastAsia="Times New Roman" w:hAnsi="Times New Roman" w:cs="Times New Roman"/>
        </w:rPr>
        <w:t xml:space="preserve"> </w:t>
      </w:r>
      <w:r w:rsidRPr="000B7A61">
        <w:rPr>
          <w:rFonts w:ascii="Times New Roman" w:eastAsia="Times New Roman" w:hAnsi="Times New Roman" w:cs="Times New Roman"/>
        </w:rPr>
        <w:t xml:space="preserve">старого зразку на </w:t>
      </w:r>
      <w:r w:rsidR="00810C74" w:rsidRPr="00810C74">
        <w:rPr>
          <w:rFonts w:ascii="Times New Roman" w:hAnsi="Times New Roman" w:cs="Times New Roman"/>
          <w:color w:val="000000"/>
        </w:rPr>
        <w:t>скретч-картки та/або талони</w:t>
      </w:r>
      <w:r w:rsidRPr="000B7A61">
        <w:rPr>
          <w:rFonts w:ascii="Times New Roman" w:eastAsia="Times New Roman" w:hAnsi="Times New Roman" w:cs="Times New Roman"/>
        </w:rPr>
        <w:t xml:space="preserve"> нового зразку у зв’язку з закінчення терміну їх дії, пошкодженням, виявленними Замовником дефектів, будь-чого іншого, що може якимось чином вплинути на отримання товару, згідно письмової заявки Замовника та накладної, підписаної уповноваженими особами представниками сторін. Учасник забезпечує безкоштовний їх обмін протягом п’яти робочих днів, в асортименті та необхідній кількості, без урахування коливання ціни, як протягом дії Договору, так і впродовж не менше одного року з дня постачання.</w:t>
      </w:r>
    </w:p>
    <w:p w:rsidR="00A350B2" w:rsidRPr="000B7A61"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0B7A61">
        <w:rPr>
          <w:rFonts w:ascii="Times New Roman" w:eastAsia="Times New Roman" w:hAnsi="Times New Roman" w:cs="Times New Roman"/>
        </w:rPr>
        <w:t xml:space="preserve">6. </w:t>
      </w:r>
      <w:r w:rsidRPr="000B7A61">
        <w:rPr>
          <w:rFonts w:ascii="Times New Roman" w:eastAsia="Times New Roman" w:hAnsi="Times New Roman" w:cs="Times New Roman"/>
          <w:u w:val="single"/>
        </w:rPr>
        <w:t>Заходи із захисту довкілля</w:t>
      </w:r>
      <w:r w:rsidRPr="000B7A61">
        <w:rPr>
          <w:rFonts w:ascii="Times New Roman" w:eastAsia="Times New Roman" w:hAnsi="Times New Roman" w:cs="Times New Roman"/>
        </w:rPr>
        <w:t xml:space="preserve">: товар, що є предметом закупівлі, повинен відповідати вимогам чинних нормативно-правових актів щодо встановлених рівнів шкідливого фізичного впливу на навколишнє природне середовище і здоров'я людини (надати </w:t>
      </w:r>
      <w:r w:rsidR="00CA3F89" w:rsidRPr="000B7A61">
        <w:rPr>
          <w:rFonts w:ascii="Times New Roman" w:eastAsia="Times New Roman" w:hAnsi="Times New Roman" w:cs="Times New Roman"/>
        </w:rPr>
        <w:t>гарантійний</w:t>
      </w:r>
      <w:r w:rsidRPr="000B7A61">
        <w:rPr>
          <w:rFonts w:ascii="Times New Roman" w:eastAsia="Times New Roman" w:hAnsi="Times New Roman" w:cs="Times New Roman"/>
        </w:rPr>
        <w:t xml:space="preserve"> лист у складі пропозиції).</w:t>
      </w:r>
    </w:p>
    <w:p w:rsidR="00A350B2" w:rsidRPr="00F54C04" w:rsidRDefault="00A350B2" w:rsidP="00A350B2">
      <w:pPr>
        <w:autoSpaceDE w:val="0"/>
        <w:autoSpaceDN w:val="0"/>
        <w:adjustRightInd w:val="0"/>
        <w:spacing w:after="0" w:line="240" w:lineRule="auto"/>
        <w:ind w:firstLine="567"/>
        <w:jc w:val="both"/>
        <w:rPr>
          <w:rFonts w:ascii="Times New Roman" w:eastAsia="Times New Roman" w:hAnsi="Times New Roman" w:cs="Times New Roman"/>
        </w:rPr>
      </w:pPr>
      <w:r w:rsidRPr="000B7A61">
        <w:rPr>
          <w:rFonts w:ascii="Times New Roman" w:eastAsia="Times New Roman" w:hAnsi="Times New Roman" w:cs="Times New Roman"/>
        </w:rPr>
        <w:t xml:space="preserve">7. АЗС повинні розташовуватися </w:t>
      </w:r>
      <w:r w:rsidR="002E5E8F" w:rsidRPr="000B7A61">
        <w:rPr>
          <w:rFonts w:ascii="Times New Roman" w:eastAsia="Times New Roman" w:hAnsi="Times New Roman" w:cs="Times New Roman"/>
        </w:rPr>
        <w:t xml:space="preserve">бажано </w:t>
      </w:r>
      <w:r w:rsidRPr="000B7A61">
        <w:rPr>
          <w:rFonts w:ascii="Times New Roman" w:eastAsia="Times New Roman" w:hAnsi="Times New Roman" w:cs="Times New Roman"/>
        </w:rPr>
        <w:t xml:space="preserve">на території </w:t>
      </w:r>
      <w:r w:rsidR="008611A3">
        <w:rPr>
          <w:rFonts w:ascii="Times New Roman" w:eastAsia="Times New Roman" w:hAnsi="Times New Roman" w:cs="Times New Roman"/>
        </w:rPr>
        <w:t>м. Немирів</w:t>
      </w:r>
      <w:r w:rsidRPr="000B7A61">
        <w:rPr>
          <w:rFonts w:ascii="Times New Roman" w:eastAsia="Times New Roman" w:hAnsi="Times New Roman" w:cs="Times New Roman"/>
        </w:rPr>
        <w:t>, Вінницької</w:t>
      </w:r>
      <w:r w:rsidR="002E5E8F" w:rsidRPr="000B7A61">
        <w:rPr>
          <w:rFonts w:ascii="Times New Roman" w:eastAsia="Times New Roman" w:hAnsi="Times New Roman" w:cs="Times New Roman"/>
        </w:rPr>
        <w:t xml:space="preserve"> області</w:t>
      </w:r>
      <w:r w:rsidR="002E5E8F" w:rsidRPr="00F54C04">
        <w:rPr>
          <w:rFonts w:ascii="Times New Roman" w:eastAsia="Times New Roman" w:hAnsi="Times New Roman" w:cs="Times New Roman"/>
        </w:rPr>
        <w:t>, або в</w:t>
      </w:r>
      <w:r w:rsidR="00F64687" w:rsidRPr="00F54C04">
        <w:rPr>
          <w:rFonts w:ascii="Times New Roman" w:eastAsia="Times New Roman" w:hAnsi="Times New Roman" w:cs="Times New Roman"/>
        </w:rPr>
        <w:t xml:space="preserve"> радіусі орієнтовно </w:t>
      </w:r>
      <w:r w:rsidR="0075160C" w:rsidRPr="00F54C04">
        <w:rPr>
          <w:rFonts w:ascii="Times New Roman" w:eastAsia="Times New Roman" w:hAnsi="Times New Roman" w:cs="Times New Roman"/>
        </w:rPr>
        <w:t xml:space="preserve">до </w:t>
      </w:r>
      <w:r w:rsidR="008611A3">
        <w:rPr>
          <w:rFonts w:ascii="Times New Roman" w:eastAsia="Times New Roman" w:hAnsi="Times New Roman" w:cs="Times New Roman"/>
        </w:rPr>
        <w:t>10</w:t>
      </w:r>
      <w:r w:rsidRPr="00F54C04">
        <w:rPr>
          <w:rFonts w:ascii="Times New Roman" w:eastAsia="Times New Roman" w:hAnsi="Times New Roman" w:cs="Times New Roman"/>
        </w:rPr>
        <w:t xml:space="preserve"> км </w:t>
      </w:r>
      <w:r w:rsidR="00F64687" w:rsidRPr="00F54C04">
        <w:rPr>
          <w:rFonts w:ascii="Times New Roman" w:eastAsia="Times New Roman" w:hAnsi="Times New Roman" w:cs="Times New Roman"/>
        </w:rPr>
        <w:t xml:space="preserve">(не більше) </w:t>
      </w:r>
      <w:r w:rsidRPr="00F54C04">
        <w:rPr>
          <w:rFonts w:ascii="Times New Roman" w:eastAsia="Times New Roman" w:hAnsi="Times New Roman" w:cs="Times New Roman"/>
        </w:rPr>
        <w:t xml:space="preserve">від місця знаходження закладу замовника. Для </w:t>
      </w:r>
      <w:r w:rsidR="00810C74" w:rsidRPr="00810C74">
        <w:rPr>
          <w:rFonts w:ascii="Times New Roman" w:hAnsi="Times New Roman" w:cs="Times New Roman"/>
          <w:color w:val="000000"/>
        </w:rPr>
        <w:t>скретч-картки та/або талони</w:t>
      </w:r>
      <w:r w:rsidRPr="00F54C04">
        <w:rPr>
          <w:rFonts w:ascii="Times New Roman" w:eastAsia="Times New Roman" w:hAnsi="Times New Roman" w:cs="Times New Roman"/>
        </w:rPr>
        <w:t>, що розповсюджуються на території Вінницької області, учасник повинен надати інформацію про мережу АЗС в межах вищевказаної території, на яких буде здійснюватися заправка (вказати адреси АЗС).</w:t>
      </w:r>
    </w:p>
    <w:p w:rsidR="00354594" w:rsidRDefault="00A350B2" w:rsidP="00354594">
      <w:pPr>
        <w:autoSpaceDE w:val="0"/>
        <w:autoSpaceDN w:val="0"/>
        <w:adjustRightInd w:val="0"/>
        <w:spacing w:after="0" w:line="240" w:lineRule="auto"/>
        <w:ind w:firstLine="567"/>
        <w:jc w:val="both"/>
        <w:rPr>
          <w:rFonts w:ascii="Times New Roman" w:eastAsia="Times New Roman" w:hAnsi="Times New Roman" w:cs="Times New Roman"/>
          <w:bCs/>
          <w:lang w:bidi="uk-UA"/>
        </w:rPr>
      </w:pPr>
      <w:r w:rsidRPr="00F54C04">
        <w:rPr>
          <w:rFonts w:ascii="Times New Roman" w:eastAsia="Times New Roman" w:hAnsi="Times New Roman" w:cs="Times New Roman"/>
        </w:rPr>
        <w:t xml:space="preserve">8. </w:t>
      </w:r>
      <w:r w:rsidRPr="00F54C04">
        <w:rPr>
          <w:rFonts w:ascii="Times New Roman" w:eastAsia="Times New Roman" w:hAnsi="Times New Roman" w:cs="Times New Roman"/>
          <w:bCs/>
          <w:lang w:bidi="uk-UA"/>
        </w:rPr>
        <w:t>Відповідно до </w:t>
      </w:r>
      <w:hyperlink r:id="rId6" w:anchor="Text" w:tgtFrame="_blank" w:history="1">
        <w:r w:rsidRPr="00F54C04">
          <w:rPr>
            <w:rStyle w:val="a6"/>
            <w:rFonts w:ascii="Times New Roman" w:eastAsia="Times New Roman" w:hAnsi="Times New Roman" w:cs="Times New Roman"/>
            <w:bCs/>
            <w:color w:val="auto"/>
            <w:u w:val="none"/>
            <w:lang w:bidi="uk-UA"/>
          </w:rPr>
          <w:t>змін до Закону України "Про публічні закупівлі", що на набули чинності 10.11.2021</w:t>
        </w:r>
      </w:hyperlink>
      <w:r w:rsidRPr="00F54C04">
        <w:rPr>
          <w:rFonts w:ascii="Times New Roman" w:eastAsia="Times New Roman" w:hAnsi="Times New Roman" w:cs="Times New Roman"/>
          <w:bCs/>
          <w:lang w:bidi="uk-UA"/>
        </w:rPr>
        <w:t xml:space="preserve"> Замовники повинні при публікації звіту про виконання договору публікувати інформацію про країну походження товару щодо кожної номенклатурної позиції предмета закупівлі - у разі закупівлі товару, тому учаснику в складі пропозиції надати відповідно довідку довільної форми із </w:t>
      </w:r>
      <w:r w:rsidR="00A327E8" w:rsidRPr="00F54C04">
        <w:rPr>
          <w:rFonts w:ascii="Times New Roman" w:eastAsia="Times New Roman" w:hAnsi="Times New Roman" w:cs="Times New Roman"/>
          <w:bCs/>
          <w:lang w:bidi="uk-UA"/>
        </w:rPr>
        <w:t>зазначенням</w:t>
      </w:r>
      <w:r w:rsidRPr="00F54C04">
        <w:rPr>
          <w:rFonts w:ascii="Times New Roman" w:eastAsia="Times New Roman" w:hAnsi="Times New Roman" w:cs="Times New Roman"/>
          <w:bCs/>
          <w:lang w:bidi="uk-UA"/>
        </w:rPr>
        <w:t xml:space="preserve"> країни </w:t>
      </w:r>
      <w:r w:rsidR="00A327E8" w:rsidRPr="00F54C04">
        <w:rPr>
          <w:rFonts w:ascii="Times New Roman" w:eastAsia="Times New Roman" w:hAnsi="Times New Roman" w:cs="Times New Roman"/>
          <w:bCs/>
          <w:lang w:bidi="uk-UA"/>
        </w:rPr>
        <w:t>походження</w:t>
      </w:r>
      <w:r w:rsidRPr="00F54C04">
        <w:rPr>
          <w:rFonts w:ascii="Times New Roman" w:eastAsia="Times New Roman" w:hAnsi="Times New Roman" w:cs="Times New Roman"/>
          <w:bCs/>
          <w:lang w:bidi="uk-UA"/>
        </w:rPr>
        <w:t xml:space="preserve"> запропонованого товару.</w:t>
      </w:r>
    </w:p>
    <w:p w:rsidR="00354594" w:rsidRDefault="00354594" w:rsidP="003545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354594">
        <w:rPr>
          <w:rFonts w:ascii="Times New Roman" w:eastAsia="Times New Roman" w:hAnsi="Times New Roman" w:cs="Times New Roman"/>
          <w:bCs/>
          <w:lang w:bidi="uk-UA"/>
        </w:rPr>
        <w:lastRenderedPageBreak/>
        <w:t>9</w:t>
      </w:r>
      <w:r>
        <w:rPr>
          <w:rFonts w:ascii="Times New Roman" w:eastAsia="Times New Roman" w:hAnsi="Times New Roman" w:cs="Times New Roman"/>
          <w:bCs/>
          <w:lang w:bidi="uk-UA"/>
        </w:rPr>
        <w:t>.</w:t>
      </w:r>
      <w:r w:rsidRPr="00354594">
        <w:rPr>
          <w:rFonts w:ascii="Times New Roman" w:eastAsia="Times New Roman" w:hAnsi="Times New Roman" w:cs="Times New Roman"/>
          <w:color w:val="000000"/>
          <w:sz w:val="24"/>
          <w:szCs w:val="24"/>
          <w:lang w:val="x-none" w:eastAsia="uk-UA"/>
        </w:rPr>
        <w:t xml:space="preserve"> Учасник повинен надати діючі сертифікати у відповідності до міжнародних норм та вимог Національної агенції з акредитації України, видані на ім’я учасника відповідно до вимог ДСТУ ISO 9001:2018 (EN ISO 9001:2015, IDT, ISO 9001:2015, IDT,) «Системи управління якістю. Вимоги», ДСТУ ISO 14001:2015 (ISO 14001:2015, IDT) «Системи екологічного управління. Вимоги та настанови щодо застосування», ДСТУ ISO/IEC 27001:2023 (ISO/IEC 27001:2022, IDT) «Інформаційна безпека, кібербезпека та захист конфіденційності. Системи керування інформаційною безпекою. Вимоги», ДСТУ ISO 45001:2019 (ISO 45001:2018 IDT) «Системи управління охороною здоров’я та безпекою праці. Вимоги та настанови щодо застосування»</w:t>
      </w:r>
      <w:r w:rsidRPr="00354594">
        <w:rPr>
          <w:rFonts w:ascii="Times New Roman" w:eastAsia="Times New Roman" w:hAnsi="Times New Roman" w:cs="Times New Roman"/>
          <w:color w:val="000000"/>
          <w:sz w:val="24"/>
          <w:szCs w:val="24"/>
          <w:lang w:eastAsia="uk-UA"/>
        </w:rPr>
        <w:t>.</w:t>
      </w:r>
    </w:p>
    <w:p w:rsidR="00354594" w:rsidRPr="00354594" w:rsidRDefault="00354594" w:rsidP="003545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r w:rsidRPr="00354594">
        <w:rPr>
          <w:rFonts w:ascii="Times New Roman" w:eastAsia="Times New Roman" w:hAnsi="Times New Roman" w:cs="Times New Roman"/>
          <w:color w:val="000000"/>
          <w:sz w:val="24"/>
          <w:szCs w:val="24"/>
          <w:lang w:eastAsia="uk-UA"/>
        </w:rPr>
        <w:t>Додатково учасник надає чинний договір з органом сертифікації, який видав зазначений сертифікат та атестат про відповідну акредитацію органу сертифікації разом з додатками.</w:t>
      </w:r>
    </w:p>
    <w:p w:rsidR="00354594" w:rsidRPr="00F54C04" w:rsidRDefault="00354594" w:rsidP="00A350B2">
      <w:pPr>
        <w:autoSpaceDE w:val="0"/>
        <w:autoSpaceDN w:val="0"/>
        <w:adjustRightInd w:val="0"/>
        <w:spacing w:after="0" w:line="240" w:lineRule="auto"/>
        <w:ind w:firstLine="567"/>
        <w:jc w:val="both"/>
        <w:rPr>
          <w:rFonts w:ascii="Times New Roman" w:eastAsia="Times New Roman" w:hAnsi="Times New Roman" w:cs="Times New Roman"/>
        </w:rPr>
      </w:pPr>
    </w:p>
    <w:p w:rsidR="00A350B2" w:rsidRPr="00F54C04" w:rsidRDefault="00A350B2" w:rsidP="00A350B2">
      <w:pPr>
        <w:autoSpaceDE w:val="0"/>
        <w:autoSpaceDN w:val="0"/>
        <w:adjustRightInd w:val="0"/>
        <w:spacing w:after="0" w:line="240" w:lineRule="auto"/>
        <w:ind w:firstLine="567"/>
        <w:jc w:val="both"/>
        <w:rPr>
          <w:rFonts w:ascii="Times New Roman" w:eastAsia="Times New Roman" w:hAnsi="Times New Roman" w:cs="Times New Roman"/>
          <w:i/>
        </w:rPr>
      </w:pPr>
      <w:r w:rsidRPr="00F54C04">
        <w:rPr>
          <w:rFonts w:ascii="Times New Roman" w:eastAsia="Times New Roman" w:hAnsi="Times New Roman" w:cs="Times New Roman"/>
          <w:i/>
        </w:rPr>
        <w:t xml:space="preserve">Примітка: </w:t>
      </w:r>
      <w:r w:rsidRPr="00F54C04">
        <w:rPr>
          <w:rFonts w:ascii="Times New Roman" w:hAnsi="Times New Roman" w:cs="Times New Roman"/>
          <w:i/>
        </w:rPr>
        <w:t>Всі посилання згідно цього додатку та в тексті даного оголошення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Всі посилання згідно цього додатку та в тексті оголошення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350B2" w:rsidRPr="00F54C04" w:rsidRDefault="00A350B2" w:rsidP="00A350B2">
      <w:pPr>
        <w:spacing w:after="0" w:line="240" w:lineRule="auto"/>
        <w:jc w:val="both"/>
        <w:textAlignment w:val="baseline"/>
        <w:rPr>
          <w:rFonts w:ascii="Times New Roman" w:hAnsi="Times New Roman" w:cs="Times New Roman"/>
        </w:rPr>
      </w:pPr>
    </w:p>
    <w:p w:rsidR="00A350B2" w:rsidRPr="00F54C04" w:rsidRDefault="00A350B2" w:rsidP="00A350B2">
      <w:pPr>
        <w:spacing w:after="0" w:line="240" w:lineRule="auto"/>
        <w:jc w:val="center"/>
        <w:rPr>
          <w:rFonts w:ascii="Times New Roman" w:eastAsia="Times New Roman" w:hAnsi="Times New Roman" w:cs="Times New Roman"/>
          <w:b/>
          <w:i/>
          <w:color w:val="000000"/>
        </w:rPr>
      </w:pPr>
    </w:p>
    <w:sectPr w:rsidR="00A350B2" w:rsidRPr="00F54C04" w:rsidSect="0027146E">
      <w:pgSz w:w="11906" w:h="16838"/>
      <w:pgMar w:top="426"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3BB30AAD"/>
    <w:multiLevelType w:val="multilevel"/>
    <w:tmpl w:val="891E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F2113"/>
    <w:multiLevelType w:val="multilevel"/>
    <w:tmpl w:val="16CAB530"/>
    <w:lvl w:ilvl="0">
      <w:start w:val="1"/>
      <w:numFmt w:val="decimal"/>
      <w:lvlText w:val="%1."/>
      <w:lvlJc w:val="left"/>
      <w:pPr>
        <w:tabs>
          <w:tab w:val="num" w:pos="720"/>
        </w:tabs>
        <w:ind w:left="720" w:hanging="360"/>
      </w:pPr>
    </w:lvl>
    <w:lvl w:ilvl="1">
      <w:start w:val="2"/>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E3712"/>
    <w:multiLevelType w:val="multilevel"/>
    <w:tmpl w:val="6E148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BE7679"/>
    <w:multiLevelType w:val="multilevel"/>
    <w:tmpl w:val="E9CCCCC6"/>
    <w:lvl w:ilvl="0">
      <w:start w:val="1"/>
      <w:numFmt w:val="decimal"/>
      <w:lvlText w:val="%1."/>
      <w:lvlJc w:val="left"/>
      <w:pPr>
        <w:ind w:left="720" w:hanging="360"/>
      </w:pPr>
      <w:rPr>
        <w:rFonts w:ascii="Times New Roman" w:eastAsia="Arial" w:hAnsi="Times New Roman" w:cs="Times New Roman" w:hint="default"/>
        <w:b/>
        <w:i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3"/>
  </w:num>
  <w:num w:numId="2">
    <w:abstractNumId w:val="6"/>
  </w:num>
  <w:num w:numId="3">
    <w:abstractNumId w:val="2"/>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EA"/>
    <w:rsid w:val="00030089"/>
    <w:rsid w:val="000775F5"/>
    <w:rsid w:val="000B7A61"/>
    <w:rsid w:val="000C0A80"/>
    <w:rsid w:val="000F5474"/>
    <w:rsid w:val="00110490"/>
    <w:rsid w:val="001128C4"/>
    <w:rsid w:val="00156C9B"/>
    <w:rsid w:val="001B15C1"/>
    <w:rsid w:val="001B6364"/>
    <w:rsid w:val="002632B3"/>
    <w:rsid w:val="0027146E"/>
    <w:rsid w:val="00290F38"/>
    <w:rsid w:val="002E5E8F"/>
    <w:rsid w:val="00354594"/>
    <w:rsid w:val="003B540B"/>
    <w:rsid w:val="003B64A2"/>
    <w:rsid w:val="004F7434"/>
    <w:rsid w:val="006028D5"/>
    <w:rsid w:val="00655DF3"/>
    <w:rsid w:val="006706AD"/>
    <w:rsid w:val="006E3669"/>
    <w:rsid w:val="006F110B"/>
    <w:rsid w:val="0075160C"/>
    <w:rsid w:val="007C75C5"/>
    <w:rsid w:val="00810C74"/>
    <w:rsid w:val="008611A3"/>
    <w:rsid w:val="008656D5"/>
    <w:rsid w:val="008F705B"/>
    <w:rsid w:val="00907C0E"/>
    <w:rsid w:val="00A327E8"/>
    <w:rsid w:val="00A350B2"/>
    <w:rsid w:val="00A47FFA"/>
    <w:rsid w:val="00A50E1B"/>
    <w:rsid w:val="00A6310B"/>
    <w:rsid w:val="00AE2071"/>
    <w:rsid w:val="00B34724"/>
    <w:rsid w:val="00BF1B33"/>
    <w:rsid w:val="00C14527"/>
    <w:rsid w:val="00C813AD"/>
    <w:rsid w:val="00C87840"/>
    <w:rsid w:val="00CA3F89"/>
    <w:rsid w:val="00CD11A1"/>
    <w:rsid w:val="00D220F0"/>
    <w:rsid w:val="00D55EDE"/>
    <w:rsid w:val="00D6629A"/>
    <w:rsid w:val="00E34BCF"/>
    <w:rsid w:val="00E83B86"/>
    <w:rsid w:val="00E87BEA"/>
    <w:rsid w:val="00EB6E23"/>
    <w:rsid w:val="00EC14BE"/>
    <w:rsid w:val="00ED4EA9"/>
    <w:rsid w:val="00F54C04"/>
    <w:rsid w:val="00F64687"/>
    <w:rsid w:val="00F9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FF35"/>
  <w15:docId w15:val="{47623E81-1600-4197-AFF1-CA88CD5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655DF3"/>
    <w:pPr>
      <w:spacing w:after="200" w:line="276" w:lineRule="auto"/>
      <w:ind w:left="720"/>
      <w:contextualSpacing/>
    </w:pPr>
    <w:rPr>
      <w:rFonts w:cs="Times New Roman"/>
      <w:lang w:val="ru-RU" w:eastAsia="en-US"/>
    </w:rPr>
  </w:style>
  <w:style w:type="character" w:customStyle="1" w:styleId="af8">
    <w:name w:val="Абзац списку Знак"/>
    <w:aliases w:val="Список уровня 2 Знак"/>
    <w:link w:val="af7"/>
    <w:uiPriority w:val="34"/>
    <w:locked/>
    <w:rsid w:val="00655DF3"/>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812-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4247</Words>
  <Characters>2421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Braslav1</dc:creator>
  <cp:lastModifiedBy>Oksana</cp:lastModifiedBy>
  <cp:revision>4</cp:revision>
  <dcterms:created xsi:type="dcterms:W3CDTF">2024-04-02T13:19:00Z</dcterms:created>
  <dcterms:modified xsi:type="dcterms:W3CDTF">2024-04-05T11:42:00Z</dcterms:modified>
</cp:coreProperties>
</file>