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AE3DF2">
        <w:rPr>
          <w:rFonts w:ascii="Times New Roman" w:hAnsi="Times New Roman" w:cs="Times New Roman"/>
          <w:b/>
        </w:rPr>
        <w:t xml:space="preserve">- </w:t>
      </w:r>
      <w:r w:rsidRPr="00AE3DF2">
        <w:rPr>
          <w:rFonts w:ascii="Times New Roman" w:hAnsi="Times New Roman" w:cs="Times New Roman"/>
          <w:b/>
          <w:iCs/>
        </w:rPr>
        <w:t xml:space="preserve">ДК 021:2015 </w:t>
      </w:r>
      <w:r w:rsidR="00AE3DF2" w:rsidRPr="00AE3DF2">
        <w:rPr>
          <w:rFonts w:ascii="Times New Roman" w:hAnsi="Times New Roman" w:cs="Times New Roman"/>
          <w:b/>
          <w:bCs/>
          <w:iCs/>
        </w:rPr>
        <w:t>15330000-0 Оброблені фрукти та овочі</w:t>
      </w:r>
      <w:r w:rsidRPr="00AE3DF2">
        <w:rPr>
          <w:rFonts w:ascii="Times New Roman" w:hAnsi="Times New Roman" w:cs="Times New Roman"/>
          <w:b/>
          <w:bCs/>
          <w:iCs/>
        </w:rPr>
        <w:t xml:space="preserve"> (</w:t>
      </w:r>
      <w:r w:rsidR="00AE3DF2" w:rsidRPr="00AE3DF2">
        <w:rPr>
          <w:rFonts w:ascii="Times New Roman" w:hAnsi="Times New Roman" w:cs="Times New Roman"/>
          <w:b/>
          <w:bCs/>
          <w:iCs/>
        </w:rPr>
        <w:t>0 Оброблені фрукти та овочі</w:t>
      </w:r>
      <w:r w:rsidRPr="00AE3DF2">
        <w:rPr>
          <w:rFonts w:ascii="Times New Roman" w:hAnsi="Times New Roman" w:cs="Times New Roman"/>
          <w:b/>
          <w:bCs/>
          <w:iCs/>
        </w:rPr>
        <w:t>)</w:t>
      </w:r>
      <w:r w:rsidRPr="00AE3DF2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</w:p>
    <w:p w:rsidR="00AE3DF2" w:rsidRPr="005555DA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Повидло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43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Pr="005555DA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Сухофрукти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97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Pr="005555DA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Квашені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огірки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256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Pr="005555DA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Родзинки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73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Pr="004C1FB6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>Томатна</w:t>
      </w:r>
      <w:proofErr w:type="spellEnd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>паста</w:t>
      </w:r>
      <w:proofErr w:type="spellEnd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 xml:space="preserve"> – 281 </w:t>
      </w:r>
      <w:proofErr w:type="spellStart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4C1FB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Pr="005555DA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Квасоля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консервована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86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3DF2" w:rsidRDefault="00AE3DF2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Капуста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квашена</w:t>
      </w:r>
      <w:proofErr w:type="spellEnd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635</w:t>
      </w:r>
      <w:r w:rsidRPr="005555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5DA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</w:p>
    <w:p w:rsidR="00AE3DF2" w:rsidRPr="005555DA" w:rsidRDefault="000152ED" w:rsidP="00AE3DF2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E3DF2">
        <w:rPr>
          <w:rFonts w:ascii="Times New Roman" w:hAnsi="Times New Roman"/>
          <w:color w:val="000000"/>
        </w:rPr>
        <w:t>Заморожені</w:t>
      </w:r>
      <w:proofErr w:type="spellEnd"/>
      <w:r w:rsidRPr="00AE3DF2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фрукти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та</w:t>
      </w:r>
      <w:proofErr w:type="spellEnd"/>
      <w:r>
        <w:rPr>
          <w:rFonts w:ascii="Times New Roman" w:hAnsi="Times New Roman"/>
          <w:color w:val="000000"/>
        </w:rPr>
        <w:t xml:space="preserve"> ягоди</w:t>
      </w:r>
      <w:bookmarkStart w:id="0" w:name="_GoBack"/>
      <w:bookmarkEnd w:id="0"/>
      <w:r w:rsidR="00AE3DF2">
        <w:rPr>
          <w:rFonts w:ascii="Times New Roman" w:eastAsia="Times New Roman" w:hAnsi="Times New Roman"/>
          <w:color w:val="000000"/>
          <w:sz w:val="24"/>
          <w:szCs w:val="24"/>
        </w:rPr>
        <w:t xml:space="preserve"> – 475 </w:t>
      </w:r>
      <w:proofErr w:type="spellStart"/>
      <w:r w:rsidR="00AE3DF2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="00AE3DF2" w:rsidRPr="005555D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AE3DF2">
        <w:rPr>
          <w:rFonts w:ascii="Times New Roman" w:hAnsi="Times New Roman" w:cs="Times New Roman"/>
          <w:b/>
        </w:rPr>
        <w:t>5.</w:t>
      </w:r>
      <w:r w:rsidRPr="00F737FF">
        <w:rPr>
          <w:rFonts w:ascii="Times New Roman" w:hAnsi="Times New Roman" w:cs="Times New Roman"/>
        </w:rPr>
        <w:t xml:space="preserve">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lastRenderedPageBreak/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AE3DF2" w:rsidRDefault="00AE3DF2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F737FF" w:rsidRDefault="00C10612" w:rsidP="007A2F65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tbl>
      <w:tblPr>
        <w:tblpPr w:leftFromText="180" w:rightFromText="180" w:vertAnchor="page" w:horzAnchor="margin" w:tblpY="24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AE3DF2" w:rsidRPr="00AE3DF2" w:rsidTr="00AE3DF2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DF2">
              <w:rPr>
                <w:rFonts w:ascii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DF2">
              <w:rPr>
                <w:rFonts w:ascii="Times New Roman" w:hAnsi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DF2">
              <w:rPr>
                <w:rFonts w:ascii="Times New Roman" w:hAnsi="Times New Roman" w:cs="Times New Roman"/>
                <w:b/>
                <w:lang w:eastAsia="zh-CN"/>
              </w:rPr>
              <w:t>Опис та характеристика товару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3DF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3DF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tabs>
                <w:tab w:val="left" w:pos="175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3DF2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E3DF2">
              <w:rPr>
                <w:rFonts w:ascii="Times New Roman" w:hAnsi="Times New Roman" w:cs="Times New Roman"/>
                <w:bCs/>
                <w:color w:val="000000"/>
              </w:rPr>
              <w:t>Повидло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Рівномірно протерта маса з м’якоті плодів або ягід з достатнім вмістом пектину (пектину отриманого із слив, яблук, абрикос та ін..). Колір – від світло-коричневого до бурого залежно від кольору плодів. Консистенція – однорідна, без твердих включень, смак – кислувато-солодкий, запах – фруктовий. Вміст сухих речовин – не менше 66 %, в </w:t>
            </w:r>
            <w:proofErr w:type="spellStart"/>
            <w:r w:rsidRPr="00AE3DF2">
              <w:rPr>
                <w:rFonts w:ascii="Times New Roman" w:hAnsi="Times New Roman" w:cs="Times New Roman"/>
                <w:iCs/>
                <w:color w:val="000000"/>
              </w:rPr>
              <w:t>т.ч</w:t>
            </w:r>
            <w:proofErr w:type="spellEnd"/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. не менше 60 % цукру (згідно вимог «Інструкції з організації харчування дітей у дошкільних закладах» затвердженої спільним наказом Міністерств освіти і науки та охорони здоров’я України від 17.04.2006 №298/227). Фасування – </w:t>
            </w:r>
            <w:r w:rsidRPr="00AE3DF2">
              <w:rPr>
                <w:rFonts w:ascii="Times New Roman" w:hAnsi="Times New Roman" w:cs="Times New Roman"/>
                <w:color w:val="000000"/>
              </w:rPr>
              <w:t xml:space="preserve">Скляна банка з металевою кришкою місткістю 0,5 кг. 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Сухофрукти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lang w:eastAsia="uk-UA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Повинні бути вищого ґатунку з фруктів. За смаком: не копчені, без стороннього смаку і запаху, без ГМО. </w:t>
            </w:r>
            <w:r w:rsidRPr="00AE3DF2">
              <w:rPr>
                <w:rFonts w:ascii="Times New Roman" w:hAnsi="Times New Roman" w:cs="Times New Roman"/>
                <w:iCs/>
                <w:color w:val="000000"/>
                <w:lang w:eastAsia="uk-UA"/>
              </w:rPr>
              <w:t xml:space="preserve">За зовнішнім видом: суха, без зайвих домішок, цвілі та ушкоджень шкідниками, свіжа на вигляд, з чистою поверхнею, без слідів плісняви, загнивання, запарювання. 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Квашені огірки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Огірки цілі, з хорошим смаком, щільною консистенцією, молодою шкіркою. Без плодоніжок і залишків квіток, чисті, не зморщені, не м’яті, без механічних та інших пошкоджень. Смак та запах – смак слабо кислий </w:t>
            </w:r>
            <w:proofErr w:type="spellStart"/>
            <w:r w:rsidRPr="00AE3DF2">
              <w:rPr>
                <w:rFonts w:ascii="Times New Roman" w:hAnsi="Times New Roman" w:cs="Times New Roman"/>
                <w:iCs/>
                <w:color w:val="000000"/>
              </w:rPr>
              <w:t>помірно</w:t>
            </w:r>
            <w:proofErr w:type="spellEnd"/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 солоний, запах приємний з ароматом прянощів, без сторонніх присмаку та запаху. Колір – природній без плям і </w:t>
            </w:r>
            <w:proofErr w:type="spellStart"/>
            <w:r w:rsidRPr="00AE3DF2">
              <w:rPr>
                <w:rFonts w:ascii="Times New Roman" w:hAnsi="Times New Roman" w:cs="Times New Roman"/>
                <w:iCs/>
                <w:color w:val="000000"/>
              </w:rPr>
              <w:t>опіків</w:t>
            </w:r>
            <w:proofErr w:type="spellEnd"/>
            <w:r w:rsidRPr="00AE3DF2">
              <w:rPr>
                <w:rFonts w:ascii="Times New Roman" w:hAnsi="Times New Roman" w:cs="Times New Roman"/>
                <w:iCs/>
                <w:color w:val="000000"/>
              </w:rPr>
              <w:t>. Консистенція – огірки міцні, пружні, без пустот, з щільною хрусткою м’якоттю, з недорозвиненим насінням. Якість заливки – заливка практично прозора з жовтуватим відтінком, з частками прянощів. Тара- відро пластикове, ємністю до 5 кг.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Родзинки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Родзинки (виноград сушений), без кісточок, без ГМО, фасований в поліпропіленові мішки  з етикеткою або картонні ящики. Колір від світло-коричневого до темно–коричневого, в залежності від виду використаного винограду, сухий, без ознак присутності шкідників, без плісняви, без механічних домішок та сторонніх присмаків. 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Томат</w:t>
            </w:r>
            <w:r w:rsidRPr="00AE3DF2">
              <w:rPr>
                <w:rFonts w:ascii="Times New Roman" w:hAnsi="Times New Roman" w:cs="Times New Roman"/>
                <w:color w:val="000000"/>
              </w:rPr>
              <w:t>на паста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lang w:val="ru-RU" w:eastAsia="uk-UA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>Повин</w:t>
            </w:r>
            <w:r w:rsidRPr="00AE3DF2">
              <w:rPr>
                <w:rFonts w:ascii="Times New Roman" w:hAnsi="Times New Roman" w:cs="Times New Roman"/>
                <w:iCs/>
                <w:color w:val="000000"/>
              </w:rPr>
              <w:t>на</w:t>
            </w: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 бути виготовлен</w:t>
            </w:r>
            <w:r w:rsidRPr="00AE3DF2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 зі стиглих томатів шляхом їх розроблення, підігріву, протирання та уварювання з сіллю або без неї до визначеного вмісту сухих речовин. Зовнішній вигляд та консистенція – однорідна концентрована маса, без темних включень, залишків шкірки, насіння та інших грубих частинок плодів. Колір – червоний, яскраво виражений, рівномірний по всій масі. Смак та запах – властиві концентрованої томатної масі, без гіркоти, пригару та інших сторонніх присмаку та запаху. Без ГМО, консервантів та барвників. Має відповідати ДСТУ. </w:t>
            </w:r>
            <w:r w:rsidRPr="00AE3DF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Фасовка: </w:t>
            </w:r>
            <w:proofErr w:type="spellStart"/>
            <w:r w:rsidRPr="00AE3DF2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скляна</w:t>
            </w:r>
            <w:proofErr w:type="spellEnd"/>
            <w:r w:rsidRPr="00AE3DF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банка  0,500 л +/- 3 %</w:t>
            </w:r>
          </w:p>
        </w:tc>
      </w:tr>
      <w:tr w:rsidR="00AE3DF2" w:rsidRPr="00AE3DF2" w:rsidTr="00AE3DF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Квасоля консервована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 xml:space="preserve">Біла, велика, натуральна без ГМО та консервантів, вітчизняного виробника. Стерилізовані вищого ґатунку, фасовані у скло банках місткістю 0,5 л. Плодоовочева продукція консервована поставляється фасованою в склотару, стерилізована, пастеризованим чи комбінованим способом. Банки повинні бути герметично закупорені. Без консервантів, ароматизаторів і барвників. </w:t>
            </w:r>
          </w:p>
        </w:tc>
      </w:tr>
      <w:tr w:rsidR="00AE3DF2" w:rsidRPr="00AE3DF2" w:rsidTr="00AE3DF2">
        <w:trPr>
          <w:cantSplit/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>Капуста квашена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>Шаткована, вагова, в поліетиленових відрах до 5 кг. Повинна мати білий колір, хрустку консистенцію, кислувато-солонуватий смак, без сторонніх запахів та смаків. Рівномірно шаткована смужками шириною не більше 5 мм., без крупних часток, без качана та шматків листя.  Упаковка ціла, герметична.</w:t>
            </w:r>
          </w:p>
          <w:p w:rsidR="00AE3DF2" w:rsidRPr="00AE3DF2" w:rsidRDefault="00AE3DF2" w:rsidP="007A2F6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AE3DF2">
              <w:rPr>
                <w:rFonts w:ascii="Times New Roman" w:hAnsi="Times New Roman" w:cs="Times New Roman"/>
                <w:iCs/>
                <w:color w:val="000000"/>
              </w:rPr>
              <w:t>Товар не повинен містити ГМО.</w:t>
            </w:r>
          </w:p>
        </w:tc>
      </w:tr>
      <w:tr w:rsidR="00AE3DF2" w:rsidRPr="00AE3DF2" w:rsidTr="00AE3DF2">
        <w:trPr>
          <w:cantSplit/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AE3DF2" w:rsidRPr="00AE3DF2" w:rsidRDefault="00AE3DF2" w:rsidP="007A2F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3D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E3DF2" w:rsidRPr="00AE3DF2" w:rsidRDefault="00AE3DF2" w:rsidP="00015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3DF2">
              <w:rPr>
                <w:rFonts w:ascii="Times New Roman" w:hAnsi="Times New Roman" w:cs="Times New Roman"/>
                <w:color w:val="000000"/>
              </w:rPr>
              <w:t xml:space="preserve">Заморожені </w:t>
            </w:r>
            <w:r w:rsidR="00C859F2">
              <w:rPr>
                <w:rFonts w:ascii="Times New Roman" w:hAnsi="Times New Roman" w:cs="Times New Roman"/>
                <w:color w:val="000000"/>
              </w:rPr>
              <w:t xml:space="preserve">фрукти та ягоди 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F65" w:rsidRPr="007A2F65" w:rsidRDefault="007A2F65" w:rsidP="007A2F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2F65">
              <w:rPr>
                <w:rFonts w:ascii="Times New Roman" w:hAnsi="Times New Roman" w:cs="Times New Roman"/>
                <w:color w:val="000000"/>
              </w:rPr>
              <w:t>Плоди мають бути стиглі, цілі, чисті, без сторонніх домішок. Консистенція в розмороженому стані: дещо розм’якшена, близька до консистенції свіжих</w:t>
            </w:r>
            <w:r w:rsidR="000152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F65">
              <w:rPr>
                <w:rFonts w:ascii="Times New Roman" w:hAnsi="Times New Roman" w:cs="Times New Roman"/>
                <w:color w:val="000000"/>
              </w:rPr>
              <w:t>фруктів та ягід</w:t>
            </w:r>
            <w:r w:rsidRPr="007A2F65">
              <w:rPr>
                <w:rFonts w:ascii="Times New Roman" w:hAnsi="Times New Roman" w:cs="Times New Roman"/>
                <w:color w:val="000000"/>
              </w:rPr>
              <w:t xml:space="preserve">. Смак і запах: натуральні, властиві даному виду </w:t>
            </w:r>
            <w:r w:rsidRPr="007A2F65">
              <w:rPr>
                <w:rFonts w:ascii="Times New Roman" w:hAnsi="Times New Roman" w:cs="Times New Roman"/>
                <w:color w:val="000000"/>
              </w:rPr>
              <w:t xml:space="preserve">фруктів та </w:t>
            </w:r>
            <w:r w:rsidRPr="007A2F65">
              <w:rPr>
                <w:rFonts w:ascii="Times New Roman" w:hAnsi="Times New Roman" w:cs="Times New Roman"/>
                <w:color w:val="000000"/>
              </w:rPr>
              <w:t xml:space="preserve">ягід, без стороннього запаху та присмаку. Продукція не повинна містити небезпечні для організму речовини, в </w:t>
            </w:r>
            <w:proofErr w:type="spellStart"/>
            <w:r w:rsidRPr="007A2F65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7A2F65">
              <w:rPr>
                <w:rFonts w:ascii="Times New Roman" w:hAnsi="Times New Roman" w:cs="Times New Roman"/>
                <w:color w:val="000000"/>
              </w:rPr>
              <w:t xml:space="preserve">. штучні барвники, консерванти, ароматизатори, ГМО, тощо. Тип обробки: швидка </w:t>
            </w:r>
            <w:proofErr w:type="spellStart"/>
            <w:r w:rsidRPr="007A2F65">
              <w:rPr>
                <w:rFonts w:ascii="Times New Roman" w:hAnsi="Times New Roman" w:cs="Times New Roman"/>
                <w:color w:val="000000"/>
              </w:rPr>
              <w:t>заморозка</w:t>
            </w:r>
            <w:proofErr w:type="spellEnd"/>
            <w:r w:rsidRPr="007A2F65">
              <w:rPr>
                <w:rFonts w:ascii="Times New Roman" w:hAnsi="Times New Roman" w:cs="Times New Roman"/>
                <w:color w:val="000000"/>
              </w:rPr>
              <w:t>. Пакування має бути цілісним без пошкоджень.</w:t>
            </w:r>
          </w:p>
        </w:tc>
      </w:tr>
    </w:tbl>
    <w:p w:rsidR="00AE3DF2" w:rsidRDefault="00AE3DF2" w:rsidP="00C953EF">
      <w:pPr>
        <w:ind w:firstLine="284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113"/>
    <w:multiLevelType w:val="hybridMultilevel"/>
    <w:tmpl w:val="47BEC6CC"/>
    <w:lvl w:ilvl="0" w:tplc="2F345D2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0152ED"/>
    <w:rsid w:val="00362ECA"/>
    <w:rsid w:val="003B27E8"/>
    <w:rsid w:val="00533CF2"/>
    <w:rsid w:val="00557DDA"/>
    <w:rsid w:val="006112ED"/>
    <w:rsid w:val="006E58B9"/>
    <w:rsid w:val="007A2F65"/>
    <w:rsid w:val="008A7337"/>
    <w:rsid w:val="008F24B1"/>
    <w:rsid w:val="009B7FAB"/>
    <w:rsid w:val="009F733C"/>
    <w:rsid w:val="00A1313D"/>
    <w:rsid w:val="00A14CA9"/>
    <w:rsid w:val="00A83BD6"/>
    <w:rsid w:val="00AD7171"/>
    <w:rsid w:val="00AE3DF2"/>
    <w:rsid w:val="00BC0020"/>
    <w:rsid w:val="00BD77F7"/>
    <w:rsid w:val="00C10612"/>
    <w:rsid w:val="00C35010"/>
    <w:rsid w:val="00C62C32"/>
    <w:rsid w:val="00C859F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2AFF19-EE57-4F88-B86F-9C2EC3AB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2024-01-23T08:03:00Z</dcterms:created>
  <dcterms:modified xsi:type="dcterms:W3CDTF">2024-01-23T08:03:00Z</dcterms:modified>
</cp:coreProperties>
</file>