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D0" w:rsidRPr="00FE0323" w:rsidRDefault="00117DD0" w:rsidP="00117DD0">
      <w:pPr>
        <w:ind w:right="-25" w:firstLine="5812"/>
        <w:rPr>
          <w:b/>
          <w:color w:val="000000"/>
          <w:sz w:val="24"/>
          <w:szCs w:val="24"/>
        </w:rPr>
      </w:pPr>
      <w:r w:rsidRPr="00FE0323">
        <w:rPr>
          <w:b/>
          <w:color w:val="000000"/>
          <w:sz w:val="24"/>
          <w:szCs w:val="24"/>
        </w:rPr>
        <w:t>Додаток №1</w:t>
      </w:r>
    </w:p>
    <w:p w:rsidR="00117DD0" w:rsidRPr="00FE0323" w:rsidRDefault="00117DD0" w:rsidP="00117DD0">
      <w:pPr>
        <w:ind w:right="-25" w:firstLine="5812"/>
        <w:rPr>
          <w:b/>
          <w:color w:val="000000"/>
          <w:sz w:val="24"/>
          <w:szCs w:val="24"/>
        </w:rPr>
      </w:pPr>
      <w:r w:rsidRPr="00FE0323">
        <w:rPr>
          <w:b/>
          <w:color w:val="000000"/>
          <w:sz w:val="24"/>
          <w:szCs w:val="24"/>
        </w:rPr>
        <w:t>до тендерної документації</w:t>
      </w:r>
    </w:p>
    <w:p w:rsidR="00117DD0" w:rsidRPr="00FE0323" w:rsidRDefault="00117DD0" w:rsidP="00117DD0">
      <w:pPr>
        <w:tabs>
          <w:tab w:val="left" w:pos="180"/>
        </w:tabs>
        <w:ind w:right="-25"/>
        <w:jc w:val="center"/>
        <w:rPr>
          <w:b/>
          <w:color w:val="000000"/>
          <w:sz w:val="24"/>
          <w:szCs w:val="24"/>
        </w:rPr>
      </w:pPr>
    </w:p>
    <w:p w:rsidR="00117DD0" w:rsidRPr="00FE0323" w:rsidRDefault="00117DD0" w:rsidP="00117DD0">
      <w:pPr>
        <w:tabs>
          <w:tab w:val="left" w:pos="180"/>
        </w:tabs>
        <w:ind w:right="-25"/>
        <w:jc w:val="center"/>
        <w:rPr>
          <w:b/>
          <w:color w:val="000000"/>
          <w:sz w:val="24"/>
          <w:szCs w:val="24"/>
        </w:rPr>
      </w:pPr>
      <w:r w:rsidRPr="00FE0323">
        <w:rPr>
          <w:b/>
          <w:color w:val="000000"/>
          <w:sz w:val="24"/>
          <w:szCs w:val="24"/>
        </w:rPr>
        <w:t>КВАЛІФІКАЦІЙНІ КРИТЕРІЇ ТА ІНШІ ДОКУМЕНТИ, ЯКІ ВИМАГАЮТЬСЯ ДЛЯ ПІДТВЕРДЖЕННЯ ВІДПОВІДНОСТІ ПРОПОЗИЦІЇ УЧАСНИКА ВИМОГАМ ЗАМОВНИКА</w:t>
      </w:r>
    </w:p>
    <w:p w:rsidR="00117DD0" w:rsidRPr="00FE0323" w:rsidRDefault="00117DD0" w:rsidP="00117DD0">
      <w:pPr>
        <w:tabs>
          <w:tab w:val="left" w:pos="180"/>
        </w:tabs>
        <w:ind w:left="284" w:right="282" w:firstLine="567"/>
        <w:jc w:val="both"/>
        <w:rPr>
          <w:color w:val="000000"/>
          <w:sz w:val="24"/>
          <w:szCs w:val="24"/>
        </w:rPr>
      </w:pPr>
      <w:r w:rsidRPr="00FE0323">
        <w:rPr>
          <w:color w:val="000000"/>
          <w:sz w:val="24"/>
          <w:szCs w:val="24"/>
        </w:rPr>
        <w:t>У складі тендерної пропозиції учасники процедури закупівлі надають документально підтверджену інформацію про їх відповідність кваліфікаційним критеріям (кваліфікаційному критерію), встановлених замовником відповідно до статті 16 Закону України «Про публічні закупівлі» (далі – Закон) з урахуванням положень Особливостей, документи та інформацію про наявність/відсутність підстав, зазначених в пункті 47 Особливостей та іншу інформацію, вимоги щодо наявності якої передбачені законодавством та яку замовник вважає за необхідне включити до тендерної документації, а саме:</w:t>
      </w:r>
    </w:p>
    <w:tbl>
      <w:tblPr>
        <w:tblW w:w="0" w:type="auto"/>
        <w:jc w:val="center"/>
        <w:tblInd w:w="-85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/>
      </w:tblPr>
      <w:tblGrid>
        <w:gridCol w:w="674"/>
        <w:gridCol w:w="3943"/>
        <w:gridCol w:w="4870"/>
        <w:gridCol w:w="12"/>
      </w:tblGrid>
      <w:tr w:rsidR="00117DD0" w:rsidRPr="00FE0323" w:rsidTr="002D4891">
        <w:trPr>
          <w:gridAfter w:val="1"/>
          <w:wAfter w:w="12" w:type="dxa"/>
          <w:trHeight w:val="400"/>
          <w:jc w:val="center"/>
        </w:trPr>
        <w:tc>
          <w:tcPr>
            <w:tcW w:w="674" w:type="dxa"/>
            <w:vAlign w:val="center"/>
          </w:tcPr>
          <w:p w:rsidR="00117DD0" w:rsidRPr="00FE0323" w:rsidRDefault="00117DD0" w:rsidP="002D4891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bCs/>
                <w:color w:val="000000"/>
                <w:sz w:val="24"/>
                <w:szCs w:val="24"/>
              </w:rPr>
            </w:pPr>
            <w:r w:rsidRPr="00FE0323">
              <w:rPr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943" w:type="dxa"/>
            <w:vAlign w:val="center"/>
          </w:tcPr>
          <w:p w:rsidR="00117DD0" w:rsidRPr="00FE0323" w:rsidRDefault="00117DD0" w:rsidP="002D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 w:right="-5"/>
              <w:jc w:val="center"/>
              <w:rPr>
                <w:b/>
                <w:iCs/>
                <w:sz w:val="24"/>
                <w:szCs w:val="24"/>
              </w:rPr>
            </w:pPr>
            <w:r w:rsidRPr="00FE0323">
              <w:rPr>
                <w:b/>
                <w:sz w:val="24"/>
                <w:szCs w:val="24"/>
                <w:lang w:eastAsia="uk-UA"/>
              </w:rPr>
              <w:t>Кваліфікаційні</w:t>
            </w:r>
            <w:r w:rsidRPr="00FE0323">
              <w:rPr>
                <w:b/>
                <w:sz w:val="24"/>
                <w:szCs w:val="24"/>
              </w:rPr>
              <w:t xml:space="preserve"> критерії  та інші документи</w:t>
            </w:r>
          </w:p>
        </w:tc>
        <w:tc>
          <w:tcPr>
            <w:tcW w:w="4870" w:type="dxa"/>
            <w:vAlign w:val="center"/>
          </w:tcPr>
          <w:p w:rsidR="00117DD0" w:rsidRPr="00FE0323" w:rsidRDefault="00117DD0" w:rsidP="002D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FE0323">
              <w:rPr>
                <w:b/>
                <w:sz w:val="24"/>
                <w:szCs w:val="24"/>
              </w:rPr>
              <w:t>Перелік підтверджуючих документів</w:t>
            </w:r>
          </w:p>
        </w:tc>
      </w:tr>
      <w:tr w:rsidR="00117DD0" w:rsidRPr="00FE0323" w:rsidTr="002D4891">
        <w:trPr>
          <w:trHeight w:val="360"/>
          <w:jc w:val="center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FE0323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8825" w:type="dxa"/>
            <w:gridSpan w:val="3"/>
            <w:tcBorders>
              <w:lef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FE0323">
              <w:rPr>
                <w:b/>
                <w:bCs/>
                <w:sz w:val="24"/>
                <w:szCs w:val="24"/>
              </w:rPr>
              <w:t>Кваліфікаційні критерії згідно ст. 16 Закону</w:t>
            </w:r>
            <w:r w:rsidRPr="00FE032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17DD0" w:rsidRPr="00FE0323" w:rsidTr="002D4891">
        <w:trPr>
          <w:gridAfter w:val="1"/>
          <w:wAfter w:w="12" w:type="dxa"/>
          <w:trHeight w:val="1202"/>
          <w:jc w:val="center"/>
        </w:trPr>
        <w:tc>
          <w:tcPr>
            <w:tcW w:w="674" w:type="dxa"/>
            <w:vAlign w:val="center"/>
          </w:tcPr>
          <w:p w:rsidR="00117DD0" w:rsidRPr="00FE0323" w:rsidRDefault="00117DD0" w:rsidP="002D4891">
            <w:pPr>
              <w:widowControl w:val="0"/>
              <w:autoSpaceDE w:val="0"/>
              <w:autoSpaceDN w:val="0"/>
              <w:adjustRightInd w:val="0"/>
              <w:ind w:left="-26" w:right="-108" w:firstLine="15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E0323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3" w:type="dxa"/>
            <w:vAlign w:val="center"/>
          </w:tcPr>
          <w:p w:rsidR="00117DD0" w:rsidRPr="00FE0323" w:rsidRDefault="00117DD0" w:rsidP="00197DD8">
            <w:pPr>
              <w:tabs>
                <w:tab w:val="left" w:pos="916"/>
                <w:tab w:val="left" w:pos="1832"/>
                <w:tab w:val="left" w:pos="255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iCs/>
                <w:color w:val="000000"/>
                <w:sz w:val="24"/>
                <w:szCs w:val="24"/>
              </w:rPr>
            </w:pPr>
            <w:r w:rsidRPr="00FE0323">
              <w:rPr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</w:tc>
        <w:tc>
          <w:tcPr>
            <w:tcW w:w="4870" w:type="dxa"/>
            <w:vAlign w:val="center"/>
          </w:tcPr>
          <w:p w:rsidR="00117DD0" w:rsidRPr="00B83B7A" w:rsidRDefault="00117DD0" w:rsidP="00B8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</w:pPr>
            <w:r w:rsidRPr="00FE0323">
              <w:rPr>
                <w:sz w:val="24"/>
                <w:szCs w:val="24"/>
              </w:rPr>
              <w:t>Учасник надає документально підтверджену інформацію (перелік договорів, позитивних відгуків, тощо) що підтверджує досвід виконання аналогічного (аналогічних) договорів) за підписом керівника/уповноваженої особи учасника (для учасників-юридичних осіб) або підписом учасника – фізичної особи, фізичної особи-підприємця</w:t>
            </w:r>
            <w:r w:rsidRPr="00FE0323">
              <w:rPr>
                <w:b/>
                <w:sz w:val="24"/>
                <w:szCs w:val="24"/>
              </w:rPr>
              <w:t xml:space="preserve"> </w:t>
            </w:r>
            <w:r w:rsidRPr="00FE0323">
              <w:rPr>
                <w:sz w:val="24"/>
                <w:szCs w:val="24"/>
              </w:rPr>
              <w:t xml:space="preserve">та скріплену печаткою </w:t>
            </w:r>
            <w:r w:rsidRPr="00FE0323">
              <w:rPr>
                <w:i/>
                <w:spacing w:val="1"/>
                <w:sz w:val="24"/>
                <w:szCs w:val="24"/>
              </w:rPr>
              <w:t>(якщо учасник здійснює свою діяльність за наявності печатки)</w:t>
            </w:r>
            <w:r w:rsidRPr="00FE0323">
              <w:rPr>
                <w:spacing w:val="1"/>
                <w:sz w:val="24"/>
                <w:szCs w:val="24"/>
              </w:rPr>
              <w:t xml:space="preserve"> або у формі електронного документа</w:t>
            </w:r>
            <w:r w:rsidRPr="00FE0323">
              <w:rPr>
                <w:sz w:val="24"/>
                <w:szCs w:val="24"/>
              </w:rPr>
              <w:t>.</w:t>
            </w:r>
            <w:r w:rsidRPr="00FE0323">
              <w:t xml:space="preserve"> </w:t>
            </w:r>
          </w:p>
        </w:tc>
      </w:tr>
      <w:tr w:rsidR="00117DD0" w:rsidRPr="00FE0323" w:rsidTr="002D4891">
        <w:trPr>
          <w:gridAfter w:val="1"/>
          <w:wAfter w:w="12" w:type="dxa"/>
          <w:trHeight w:val="1036"/>
          <w:jc w:val="center"/>
        </w:trPr>
        <w:tc>
          <w:tcPr>
            <w:tcW w:w="674" w:type="dxa"/>
            <w:vAlign w:val="center"/>
          </w:tcPr>
          <w:p w:rsidR="00117DD0" w:rsidRPr="00FE0323" w:rsidRDefault="00117DD0" w:rsidP="002D4891">
            <w:pPr>
              <w:widowControl w:val="0"/>
              <w:autoSpaceDE w:val="0"/>
              <w:autoSpaceDN w:val="0"/>
              <w:adjustRightInd w:val="0"/>
              <w:ind w:left="-26" w:right="-108" w:firstLine="15"/>
              <w:rPr>
                <w:bCs/>
                <w:color w:val="000000"/>
                <w:sz w:val="24"/>
                <w:szCs w:val="24"/>
              </w:rPr>
            </w:pPr>
            <w:r w:rsidRPr="00FE032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117DD0" w:rsidRPr="00FE0323" w:rsidRDefault="00117DD0" w:rsidP="00197DD8">
            <w:pPr>
              <w:tabs>
                <w:tab w:val="left" w:pos="823"/>
              </w:tabs>
              <w:ind w:firstLine="3"/>
              <w:jc w:val="center"/>
              <w:rPr>
                <w:sz w:val="24"/>
                <w:szCs w:val="24"/>
              </w:rPr>
            </w:pPr>
            <w:r w:rsidRPr="00FE0323">
              <w:rPr>
                <w:sz w:val="24"/>
                <w:szCs w:val="24"/>
              </w:rPr>
              <w:t>Наявність обладнання, матеріально-технічної бази та технологій.</w:t>
            </w:r>
          </w:p>
          <w:p w:rsidR="00117DD0" w:rsidRPr="00FE0323" w:rsidRDefault="00117DD0" w:rsidP="00197DD8">
            <w:pPr>
              <w:tabs>
                <w:tab w:val="left" w:pos="823"/>
              </w:tabs>
              <w:ind w:firstLine="3"/>
              <w:jc w:val="center"/>
              <w:rPr>
                <w:sz w:val="24"/>
                <w:szCs w:val="24"/>
              </w:rPr>
            </w:pPr>
            <w:r w:rsidRPr="00FE0323">
              <w:rPr>
                <w:sz w:val="24"/>
                <w:szCs w:val="24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      </w:r>
          </w:p>
        </w:tc>
        <w:tc>
          <w:tcPr>
            <w:tcW w:w="4870" w:type="dxa"/>
          </w:tcPr>
          <w:p w:rsidR="007D7FBD" w:rsidRPr="002A582B" w:rsidRDefault="00117DD0" w:rsidP="002F09CC">
            <w:pPr>
              <w:widowControl w:val="0"/>
              <w:tabs>
                <w:tab w:val="left" w:pos="823"/>
              </w:tabs>
              <w:spacing w:before="24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FE0323">
              <w:rPr>
                <w:spacing w:val="1"/>
                <w:sz w:val="24"/>
                <w:szCs w:val="24"/>
              </w:rPr>
              <w:t>Довідка довільної форми за підписом керівника/уповноваженої особи учасника (для учасників-юридичних осіб) або підписом учасника – фізичної особи, фізичної особи-підприємця</w:t>
            </w:r>
            <w:r w:rsidRPr="00FE03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0323">
              <w:rPr>
                <w:spacing w:val="1"/>
                <w:sz w:val="24"/>
                <w:szCs w:val="24"/>
              </w:rPr>
              <w:t xml:space="preserve">та скріплену печаткою </w:t>
            </w:r>
            <w:r w:rsidRPr="00FE0323">
              <w:rPr>
                <w:i/>
                <w:spacing w:val="1"/>
                <w:sz w:val="24"/>
                <w:szCs w:val="24"/>
              </w:rPr>
              <w:t xml:space="preserve">(якщо учасник здійснює свою діяльність за наявності печатки) </w:t>
            </w:r>
            <w:r w:rsidRPr="00FE0323">
              <w:rPr>
                <w:spacing w:val="1"/>
                <w:sz w:val="24"/>
                <w:szCs w:val="24"/>
              </w:rPr>
              <w:t xml:space="preserve">або у формі електронного документа, яка підтверджує наявність обладнання,  матеріально-технічної бази </w:t>
            </w:r>
            <w:r w:rsidR="002A582B" w:rsidRPr="002A582B">
              <w:rPr>
                <w:spacing w:val="1"/>
                <w:sz w:val="24"/>
                <w:szCs w:val="24"/>
              </w:rPr>
              <w:t xml:space="preserve">(автозаправних станцій, що перебувають у власності чи оренді Учасника </w:t>
            </w:r>
            <w:r w:rsidR="002F09CC">
              <w:rPr>
                <w:spacing w:val="1"/>
                <w:sz w:val="24"/>
                <w:szCs w:val="24"/>
              </w:rPr>
              <w:t xml:space="preserve">в межах м. Калинівка. Вінницької обл. </w:t>
            </w:r>
            <w:r w:rsidR="002A582B" w:rsidRPr="002A582B">
              <w:rPr>
                <w:spacing w:val="1"/>
                <w:sz w:val="24"/>
                <w:szCs w:val="24"/>
              </w:rPr>
              <w:t>Обов’язкова наявність АЗС на відстані 5 км від юридичної адреси Замовника.</w:t>
            </w:r>
            <w:r w:rsidR="002A582B">
              <w:rPr>
                <w:spacing w:val="1"/>
                <w:sz w:val="24"/>
                <w:szCs w:val="24"/>
                <w:lang w:val="ru-RU"/>
              </w:rPr>
              <w:t>)</w:t>
            </w:r>
          </w:p>
        </w:tc>
      </w:tr>
      <w:tr w:rsidR="00117DD0" w:rsidRPr="00FE0323" w:rsidTr="002D4891">
        <w:trPr>
          <w:gridAfter w:val="1"/>
          <w:wAfter w:w="12" w:type="dxa"/>
          <w:trHeight w:val="214"/>
          <w:jc w:val="center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E0323">
              <w:rPr>
                <w:b/>
                <w:sz w:val="24"/>
                <w:szCs w:val="24"/>
              </w:rPr>
              <w:t>ІІ</w:t>
            </w:r>
          </w:p>
        </w:tc>
        <w:tc>
          <w:tcPr>
            <w:tcW w:w="8813" w:type="dxa"/>
            <w:gridSpan w:val="2"/>
            <w:tcBorders>
              <w:lef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FE0323">
              <w:rPr>
                <w:b/>
                <w:bCs/>
                <w:sz w:val="24"/>
                <w:szCs w:val="24"/>
              </w:rPr>
              <w:t>Перелік необхідних документів та інформації згідно пункту 47 Особливостей</w:t>
            </w:r>
          </w:p>
        </w:tc>
      </w:tr>
      <w:tr w:rsidR="00117DD0" w:rsidRPr="00FE0323" w:rsidTr="002D4891">
        <w:trPr>
          <w:gridAfter w:val="1"/>
          <w:wAfter w:w="12" w:type="dxa"/>
          <w:trHeight w:val="279"/>
          <w:jc w:val="center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widowControl w:val="0"/>
              <w:autoSpaceDE w:val="0"/>
              <w:autoSpaceDN w:val="0"/>
              <w:adjustRightInd w:val="0"/>
              <w:ind w:left="-26" w:right="-108" w:firstLine="15"/>
              <w:rPr>
                <w:bCs/>
                <w:color w:val="000000"/>
                <w:sz w:val="24"/>
                <w:szCs w:val="24"/>
              </w:rPr>
            </w:pPr>
            <w:r w:rsidRPr="00FE032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left w:val="single" w:sz="4" w:space="0" w:color="auto"/>
            </w:tcBorders>
            <w:vAlign w:val="center"/>
          </w:tcPr>
          <w:p w:rsidR="00117DD0" w:rsidRPr="00FE0323" w:rsidRDefault="00117DD0" w:rsidP="00197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FE0323">
              <w:rPr>
                <w:sz w:val="24"/>
                <w:szCs w:val="24"/>
              </w:rPr>
              <w:t>Інформація про відсутність підстав для відмови учаснику процедури закупівлі в участі у відкритих торгах.</w:t>
            </w:r>
          </w:p>
        </w:tc>
        <w:tc>
          <w:tcPr>
            <w:tcW w:w="4870" w:type="dxa"/>
            <w:vAlign w:val="center"/>
          </w:tcPr>
          <w:p w:rsidR="00117DD0" w:rsidRPr="00FE0323" w:rsidRDefault="00117DD0" w:rsidP="00117DD0">
            <w:pPr>
              <w:numPr>
                <w:ilvl w:val="0"/>
                <w:numId w:val="2"/>
              </w:numPr>
              <w:tabs>
                <w:tab w:val="left" w:pos="303"/>
                <w:tab w:val="left" w:pos="4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Cs/>
                <w:color w:val="000000"/>
                <w:sz w:val="24"/>
                <w:szCs w:val="24"/>
              </w:rPr>
            </w:pPr>
            <w:r w:rsidRPr="00FE0323">
              <w:rPr>
                <w:spacing w:val="1"/>
                <w:sz w:val="24"/>
                <w:szCs w:val="24"/>
              </w:rPr>
              <w:t xml:space="preserve">Інформація про відсутність підстав, визначених </w:t>
            </w:r>
            <w:r w:rsidRPr="00FE0323">
              <w:rPr>
                <w:i/>
                <w:spacing w:val="1"/>
                <w:sz w:val="24"/>
                <w:szCs w:val="24"/>
              </w:rPr>
              <w:t>пунктом 47 Особливостей</w:t>
            </w:r>
            <w:r w:rsidRPr="00FE0323">
              <w:rPr>
                <w:spacing w:val="1"/>
                <w:sz w:val="24"/>
                <w:szCs w:val="24"/>
              </w:rPr>
              <w:t xml:space="preserve">, підтверджується </w:t>
            </w:r>
            <w:r w:rsidRPr="00FE0323">
              <w:rPr>
                <w:rFonts w:eastAsia="Calibri"/>
                <w:sz w:val="24"/>
                <w:szCs w:val="24"/>
              </w:rPr>
              <w:t xml:space="preserve">шляхом заповнення відповідних електронних полів в електронній системі закупівель та в порядку визначеному електронною системою </w:t>
            </w:r>
            <w:r w:rsidRPr="00FE0323">
              <w:rPr>
                <w:rFonts w:eastAsia="Calibri"/>
                <w:sz w:val="24"/>
                <w:szCs w:val="24"/>
              </w:rPr>
              <w:lastRenderedPageBreak/>
              <w:t>закупівель. Учасник процедури закупівлі підтверджує відсутність підстав, зазначених в пункті 47 Особливостей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117DD0" w:rsidRPr="00FE0323" w:rsidRDefault="00117DD0" w:rsidP="00117DD0">
            <w:pPr>
              <w:numPr>
                <w:ilvl w:val="0"/>
                <w:numId w:val="2"/>
              </w:numPr>
              <w:tabs>
                <w:tab w:val="left" w:pos="312"/>
                <w:tab w:val="left" w:pos="4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FE0323">
              <w:rPr>
                <w:spacing w:val="1"/>
                <w:sz w:val="24"/>
                <w:szCs w:val="24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договору. </w:t>
            </w:r>
          </w:p>
          <w:p w:rsidR="00117DD0" w:rsidRPr="00FE0323" w:rsidRDefault="00117DD0" w:rsidP="002D4891">
            <w:pPr>
              <w:tabs>
                <w:tab w:val="left" w:pos="303"/>
                <w:tab w:val="left" w:pos="4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  <w:sz w:val="24"/>
                <w:szCs w:val="24"/>
              </w:rPr>
            </w:pPr>
            <w:r w:rsidRPr="00FE0323">
              <w:rPr>
                <w:spacing w:val="1"/>
                <w:sz w:val="24"/>
                <w:szCs w:val="24"/>
              </w:rPr>
              <w:t xml:space="preserve">Або Учасник процедури закупівлі, що перебуває в обставинах, зазначених у в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  <w:tr w:rsidR="00117DD0" w:rsidRPr="00FE0323" w:rsidTr="002D4891">
        <w:trPr>
          <w:gridAfter w:val="1"/>
          <w:wAfter w:w="12" w:type="dxa"/>
          <w:trHeight w:val="714"/>
          <w:jc w:val="center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570"/>
              </w:tabs>
              <w:ind w:left="51" w:hanging="7"/>
              <w:jc w:val="center"/>
              <w:rPr>
                <w:sz w:val="24"/>
                <w:szCs w:val="24"/>
              </w:rPr>
            </w:pPr>
            <w:r w:rsidRPr="00FE0323">
              <w:rPr>
                <w:b/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8813" w:type="dxa"/>
            <w:gridSpan w:val="2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570"/>
              </w:tabs>
              <w:ind w:left="51" w:hanging="7"/>
              <w:jc w:val="center"/>
              <w:rPr>
                <w:sz w:val="24"/>
                <w:szCs w:val="24"/>
              </w:rPr>
            </w:pPr>
            <w:r w:rsidRPr="00FE0323">
              <w:rPr>
                <w:b/>
                <w:sz w:val="24"/>
                <w:szCs w:val="24"/>
              </w:rPr>
              <w:t>Інші документи, що повинен надати учасник в складі тендерної пропозиції, за потреби можуть бути доповнені</w:t>
            </w:r>
          </w:p>
        </w:tc>
      </w:tr>
      <w:tr w:rsidR="00117DD0" w:rsidRPr="00FE0323" w:rsidTr="002D4891">
        <w:trPr>
          <w:gridAfter w:val="1"/>
          <w:wAfter w:w="12" w:type="dxa"/>
          <w:trHeight w:val="714"/>
          <w:jc w:val="center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570"/>
              </w:tabs>
              <w:ind w:left="51" w:hanging="7"/>
              <w:jc w:val="center"/>
              <w:rPr>
                <w:sz w:val="24"/>
                <w:szCs w:val="24"/>
              </w:rPr>
            </w:pPr>
            <w:r w:rsidRPr="00FE0323">
              <w:rPr>
                <w:sz w:val="24"/>
                <w:szCs w:val="24"/>
              </w:rPr>
              <w:t>1</w:t>
            </w:r>
          </w:p>
        </w:tc>
        <w:tc>
          <w:tcPr>
            <w:tcW w:w="8813" w:type="dxa"/>
            <w:gridSpan w:val="2"/>
            <w:tcBorders>
              <w:right w:val="single" w:sz="4" w:space="0" w:color="auto"/>
            </w:tcBorders>
            <w:vAlign w:val="center"/>
          </w:tcPr>
          <w:p w:rsidR="00117DD0" w:rsidRPr="00AD7684" w:rsidRDefault="00AD7684" w:rsidP="00AD7684">
            <w:pPr>
              <w:tabs>
                <w:tab w:val="left" w:pos="570"/>
              </w:tabs>
              <w:ind w:left="51" w:hanging="7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AD7684">
              <w:rPr>
                <w:spacing w:val="1"/>
                <w:sz w:val="24"/>
                <w:szCs w:val="24"/>
              </w:rPr>
              <w:t>Якість нафтопродуктів повинна відповідати діючим в Україні Держстандартам ДСТУ та/або ТУ і підтверджуватися копією сертифіката відповідності та паспортом якості про підтвердження відповідності в складі пропозиції. Сертифікат відповідності повинен бути діючим на дату розкриття пропозиції.</w:t>
            </w:r>
          </w:p>
        </w:tc>
      </w:tr>
      <w:tr w:rsidR="00117DD0" w:rsidRPr="00FE0323" w:rsidTr="002D4891">
        <w:trPr>
          <w:gridAfter w:val="1"/>
          <w:wAfter w:w="12" w:type="dxa"/>
          <w:trHeight w:val="714"/>
          <w:jc w:val="center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DD0" w:rsidRPr="00FE0323" w:rsidRDefault="00117DD0" w:rsidP="002D4891">
            <w:pPr>
              <w:tabs>
                <w:tab w:val="left" w:pos="570"/>
              </w:tabs>
              <w:ind w:left="51" w:hanging="7"/>
              <w:jc w:val="center"/>
              <w:rPr>
                <w:sz w:val="24"/>
                <w:szCs w:val="24"/>
              </w:rPr>
            </w:pPr>
            <w:r w:rsidRPr="00FE0323">
              <w:rPr>
                <w:sz w:val="24"/>
                <w:szCs w:val="24"/>
              </w:rPr>
              <w:t>2</w:t>
            </w:r>
          </w:p>
        </w:tc>
        <w:tc>
          <w:tcPr>
            <w:tcW w:w="8813" w:type="dxa"/>
            <w:gridSpan w:val="2"/>
            <w:tcBorders>
              <w:right w:val="single" w:sz="4" w:space="0" w:color="auto"/>
            </w:tcBorders>
            <w:vAlign w:val="center"/>
          </w:tcPr>
          <w:p w:rsidR="002F09CC" w:rsidRDefault="00AD7684" w:rsidP="002D4891">
            <w:pPr>
              <w:tabs>
                <w:tab w:val="left" w:pos="570"/>
              </w:tabs>
              <w:ind w:left="51" w:hanging="7"/>
              <w:jc w:val="both"/>
              <w:rPr>
                <w:sz w:val="24"/>
                <w:szCs w:val="24"/>
                <w:lang w:val="ru-RU"/>
              </w:rPr>
            </w:pPr>
            <w:r w:rsidRPr="00AD7684">
              <w:rPr>
                <w:sz w:val="24"/>
                <w:szCs w:val="24"/>
                <w:lang w:val="ru-RU"/>
              </w:rPr>
              <w:t>Учасник гарантує, що нафтопродукти є такими, що не мають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</w:t>
            </w:r>
            <w:r w:rsidRPr="00AD7684">
              <w:rPr>
                <w:sz w:val="24"/>
                <w:szCs w:val="24"/>
              </w:rPr>
              <w:t xml:space="preserve">і </w:t>
            </w:r>
            <w:r w:rsidRPr="00AD7684">
              <w:rPr>
                <w:sz w:val="24"/>
                <w:szCs w:val="24"/>
                <w:lang w:val="ru-RU"/>
              </w:rPr>
              <w:t>відповідають встановленим законодавством нормам.</w:t>
            </w:r>
          </w:p>
          <w:p w:rsidR="00117DD0" w:rsidRPr="00FE0323" w:rsidRDefault="00AD7684" w:rsidP="002D4891">
            <w:pPr>
              <w:tabs>
                <w:tab w:val="left" w:pos="570"/>
              </w:tabs>
              <w:ind w:left="51" w:hanging="7"/>
              <w:jc w:val="both"/>
              <w:rPr>
                <w:spacing w:val="1"/>
                <w:sz w:val="24"/>
                <w:szCs w:val="24"/>
              </w:rPr>
            </w:pPr>
            <w:r w:rsidRPr="00AD7684">
              <w:rPr>
                <w:sz w:val="24"/>
                <w:szCs w:val="24"/>
                <w:lang w:val="ru-RU"/>
              </w:rPr>
              <w:t xml:space="preserve"> </w:t>
            </w:r>
            <w:r w:rsidRPr="00AD7684">
              <w:rPr>
                <w:b/>
                <w:i/>
                <w:sz w:val="24"/>
                <w:szCs w:val="24"/>
                <w:lang w:val="ru-RU"/>
              </w:rPr>
              <w:t>Підтвердження даної інформації забезпечується шляхом надання Учасником довідки у довільній формі</w:t>
            </w:r>
          </w:p>
        </w:tc>
      </w:tr>
    </w:tbl>
    <w:p w:rsidR="00117DD0" w:rsidRPr="00FE0323" w:rsidRDefault="00117DD0" w:rsidP="00117DD0">
      <w:pPr>
        <w:ind w:left="284" w:right="282" w:firstLine="567"/>
        <w:jc w:val="both"/>
        <w:rPr>
          <w:b/>
          <w:iCs/>
          <w:sz w:val="24"/>
          <w:szCs w:val="24"/>
        </w:rPr>
      </w:pPr>
      <w:r w:rsidRPr="00FE0323">
        <w:rPr>
          <w:iCs/>
          <w:sz w:val="24"/>
          <w:szCs w:val="24"/>
        </w:rPr>
        <w:t xml:space="preserve">Замовник в разі обмеження/зупинення доступу до публічної інформації, єдиних державних реєстрів залишає за собою право здійснювати перевірку наданої учасником інформації на достовірність за допомогою інформаційних-аналітичних систем у мережі </w:t>
      </w:r>
      <w:r w:rsidRPr="00FE0323">
        <w:rPr>
          <w:iCs/>
          <w:sz w:val="24"/>
          <w:szCs w:val="24"/>
          <w:lang w:val="en-US"/>
        </w:rPr>
        <w:t>Internet</w:t>
      </w:r>
      <w:r w:rsidRPr="00FE0323">
        <w:rPr>
          <w:iCs/>
          <w:sz w:val="24"/>
          <w:szCs w:val="24"/>
        </w:rPr>
        <w:t xml:space="preserve"> (наприклад, OpenDataBot, YouControl, тощо).</w:t>
      </w:r>
    </w:p>
    <w:p w:rsidR="00117DD0" w:rsidRPr="00FE0323" w:rsidRDefault="00117DD0" w:rsidP="00117DD0">
      <w:pPr>
        <w:ind w:left="284" w:right="282" w:firstLine="567"/>
        <w:rPr>
          <w:b/>
          <w:sz w:val="24"/>
          <w:szCs w:val="24"/>
        </w:rPr>
      </w:pPr>
      <w:r w:rsidRPr="00FE0323">
        <w:rPr>
          <w:b/>
          <w:sz w:val="24"/>
          <w:szCs w:val="24"/>
        </w:rPr>
        <w:t>Додаткова інформація для учасників закупівлі:</w:t>
      </w:r>
    </w:p>
    <w:p w:rsidR="00117DD0" w:rsidRPr="00FE0323" w:rsidRDefault="00117DD0" w:rsidP="00117DD0">
      <w:pPr>
        <w:tabs>
          <w:tab w:val="left" w:pos="823"/>
        </w:tabs>
        <w:ind w:left="284" w:right="282" w:firstLine="567"/>
        <w:jc w:val="both"/>
        <w:rPr>
          <w:sz w:val="24"/>
          <w:szCs w:val="24"/>
        </w:rPr>
      </w:pPr>
      <w:r w:rsidRPr="00FE0323">
        <w:rPr>
          <w:sz w:val="24"/>
          <w:szCs w:val="24"/>
        </w:rPr>
        <w:t>Учасник процедури закупівлі несе повну відповідальність за достовірність інформації та документів, які надані в складі тендерної пропозиції згідно із законодавством України.</w:t>
      </w:r>
    </w:p>
    <w:p w:rsidR="00117DD0" w:rsidRPr="00FE0323" w:rsidRDefault="00117DD0" w:rsidP="00117DD0">
      <w:pPr>
        <w:shd w:val="clear" w:color="auto" w:fill="FFFFFF"/>
        <w:tabs>
          <w:tab w:val="left" w:pos="180"/>
        </w:tabs>
        <w:ind w:left="284" w:right="282" w:firstLine="567"/>
        <w:jc w:val="both"/>
        <w:rPr>
          <w:rFonts w:eastAsia="Calibri"/>
          <w:sz w:val="24"/>
          <w:szCs w:val="24"/>
        </w:rPr>
      </w:pPr>
      <w:r w:rsidRPr="00FE0323">
        <w:rPr>
          <w:rFonts w:eastAsia="Calibri"/>
          <w:sz w:val="24"/>
          <w:szCs w:val="24"/>
        </w:rPr>
        <w:t xml:space="preserve">Якщо інформація, розміщена учасником в електронній системі закупівель шляхом завантаження документів, міститиме відомості, що відрізняються від тих, які розміщені учасником шляхом заповнення електронних полів, автентичною </w:t>
      </w:r>
      <w:r w:rsidRPr="00FE0323">
        <w:rPr>
          <w:rFonts w:eastAsia="Calibri"/>
          <w:sz w:val="24"/>
          <w:szCs w:val="24"/>
        </w:rPr>
        <w:lastRenderedPageBreak/>
        <w:t xml:space="preserve">вважається інформація, розміщена шляхом заповнення електронних полів, крім завантажених документів, що видані учаснику державними органами. </w:t>
      </w:r>
    </w:p>
    <w:p w:rsidR="00117DD0" w:rsidRPr="00FE0323" w:rsidRDefault="00117DD0" w:rsidP="00117DD0">
      <w:pPr>
        <w:tabs>
          <w:tab w:val="left" w:pos="823"/>
        </w:tabs>
        <w:ind w:left="284" w:right="282" w:firstLine="567"/>
        <w:jc w:val="both"/>
        <w:rPr>
          <w:sz w:val="24"/>
          <w:szCs w:val="24"/>
        </w:rPr>
      </w:pPr>
      <w:r w:rsidRPr="00FE0323">
        <w:rPr>
          <w:rFonts w:eastAsia="Calibri"/>
          <w:sz w:val="24"/>
          <w:szCs w:val="24"/>
        </w:rPr>
        <w:t>У разі якщо інформація у завантаженому документі, що виданий учаснику державним органом, суперечить інформації в заповнених учасником електронних полях, вважається, що учасник не підтвердив відсутність підстави для його відхилення, що передбачена цим електронним полем.</w:t>
      </w:r>
    </w:p>
    <w:p w:rsidR="00117DD0" w:rsidRPr="0013289F" w:rsidRDefault="00117DD0" w:rsidP="00117DD0">
      <w:pPr>
        <w:ind w:left="284" w:right="282" w:firstLine="567"/>
        <w:jc w:val="both"/>
        <w:rPr>
          <w:sz w:val="24"/>
          <w:szCs w:val="24"/>
        </w:rPr>
      </w:pPr>
      <w:r w:rsidRPr="00FE0323">
        <w:rPr>
          <w:sz w:val="24"/>
          <w:szCs w:val="24"/>
        </w:rPr>
        <w:t>На підставі ч.15 статті 29 Закону,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переможця процедури закупівлі вимогам кваліфікаційних критеріїв, підставам, установленим частиною першою статті 17 Закону, або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4F1774" w:rsidRPr="00117DD0" w:rsidRDefault="004F1774">
      <w:pPr>
        <w:rPr>
          <w:sz w:val="24"/>
          <w:szCs w:val="24"/>
        </w:rPr>
      </w:pPr>
    </w:p>
    <w:sectPr w:rsidR="004F1774" w:rsidRPr="00117DD0" w:rsidSect="004F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9C" w:rsidRDefault="00303A9C" w:rsidP="00117DD0">
      <w:r>
        <w:separator/>
      </w:r>
    </w:p>
  </w:endnote>
  <w:endnote w:type="continuationSeparator" w:id="1">
    <w:p w:rsidR="00303A9C" w:rsidRDefault="00303A9C" w:rsidP="0011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9C" w:rsidRDefault="00303A9C" w:rsidP="00117DD0">
      <w:r>
        <w:separator/>
      </w:r>
    </w:p>
  </w:footnote>
  <w:footnote w:type="continuationSeparator" w:id="1">
    <w:p w:rsidR="00303A9C" w:rsidRDefault="00303A9C" w:rsidP="0011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ADE"/>
    <w:multiLevelType w:val="hybridMultilevel"/>
    <w:tmpl w:val="9C54AF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2C0"/>
    <w:multiLevelType w:val="hybridMultilevel"/>
    <w:tmpl w:val="446A2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464AC"/>
    <w:multiLevelType w:val="hybridMultilevel"/>
    <w:tmpl w:val="BC8A8E98"/>
    <w:lvl w:ilvl="0" w:tplc="09C667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7F098C"/>
    <w:multiLevelType w:val="hybridMultilevel"/>
    <w:tmpl w:val="DD848D9C"/>
    <w:lvl w:ilvl="0" w:tplc="FFD899BE">
      <w:start w:val="4"/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76A1"/>
    <w:multiLevelType w:val="hybridMultilevel"/>
    <w:tmpl w:val="E1A2A54A"/>
    <w:lvl w:ilvl="0" w:tplc="F0CEA296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4252DC"/>
    <w:multiLevelType w:val="hybridMultilevel"/>
    <w:tmpl w:val="F5B6E6B8"/>
    <w:lvl w:ilvl="0" w:tplc="841CB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D0"/>
    <w:rsid w:val="00001CCC"/>
    <w:rsid w:val="000E3CA1"/>
    <w:rsid w:val="00117DD0"/>
    <w:rsid w:val="001667BA"/>
    <w:rsid w:val="00197DD8"/>
    <w:rsid w:val="002A582B"/>
    <w:rsid w:val="002B2E50"/>
    <w:rsid w:val="002E20A4"/>
    <w:rsid w:val="002F09CC"/>
    <w:rsid w:val="00303A9C"/>
    <w:rsid w:val="00352259"/>
    <w:rsid w:val="00442DE1"/>
    <w:rsid w:val="004F1774"/>
    <w:rsid w:val="005115E6"/>
    <w:rsid w:val="005E292F"/>
    <w:rsid w:val="00716CD9"/>
    <w:rsid w:val="0076410B"/>
    <w:rsid w:val="00793917"/>
    <w:rsid w:val="007D7FBD"/>
    <w:rsid w:val="00805EBC"/>
    <w:rsid w:val="00932126"/>
    <w:rsid w:val="00992701"/>
    <w:rsid w:val="00AA7CEB"/>
    <w:rsid w:val="00AD7684"/>
    <w:rsid w:val="00B83B7A"/>
    <w:rsid w:val="00B9259D"/>
    <w:rsid w:val="00C768A0"/>
    <w:rsid w:val="00E405CB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курсив"/>
    <w:basedOn w:val="a"/>
    <w:rsid w:val="00117DD0"/>
    <w:pPr>
      <w:ind w:firstLine="540"/>
      <w:jc w:val="both"/>
    </w:pPr>
    <w:rPr>
      <w:i/>
      <w:color w:val="000000"/>
      <w:lang w:val="ru-RU"/>
    </w:rPr>
  </w:style>
  <w:style w:type="paragraph" w:styleId="a3">
    <w:name w:val="footnote text"/>
    <w:basedOn w:val="a"/>
    <w:link w:val="a4"/>
    <w:rsid w:val="00117DD0"/>
  </w:style>
  <w:style w:type="character" w:customStyle="1" w:styleId="a4">
    <w:name w:val="Текст сноски Знак"/>
    <w:basedOn w:val="a0"/>
    <w:link w:val="a3"/>
    <w:rsid w:val="0011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17DD0"/>
    <w:rPr>
      <w:vertAlign w:val="superscript"/>
    </w:rPr>
  </w:style>
  <w:style w:type="paragraph" w:customStyle="1" w:styleId="21">
    <w:name w:val="Основной текст с отступом 21"/>
    <w:basedOn w:val="a"/>
    <w:qFormat/>
    <w:rsid w:val="007D7FBD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  <w:style w:type="paragraph" w:styleId="a6">
    <w:name w:val="List Paragraph"/>
    <w:aliases w:val="EBRD List,Список уровня 2,название табл/рис,заголовок 1.1"/>
    <w:basedOn w:val="a"/>
    <w:link w:val="a7"/>
    <w:uiPriority w:val="34"/>
    <w:qFormat/>
    <w:rsid w:val="007D7F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aliases w:val="EBRD List Знак,Список уровня 2 Знак,название табл/рис Знак,заголовок 1.1 Знак"/>
    <w:link w:val="a6"/>
    <w:uiPriority w:val="34"/>
    <w:locked/>
    <w:rsid w:val="007D7FB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3</cp:revision>
  <dcterms:created xsi:type="dcterms:W3CDTF">2024-02-01T09:07:00Z</dcterms:created>
  <dcterms:modified xsi:type="dcterms:W3CDTF">2024-02-02T07:15:00Z</dcterms:modified>
</cp:coreProperties>
</file>