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026FE" w14:textId="77777777" w:rsidR="0081482B" w:rsidRPr="00DD0DEF" w:rsidRDefault="0081482B" w:rsidP="00DD0DEF">
      <w:pPr>
        <w:spacing w:after="0"/>
        <w:ind w:firstLine="709"/>
        <w:jc w:val="right"/>
        <w:rPr>
          <w:rFonts w:cs="Times New Roman"/>
          <w:b/>
          <w:bCs/>
          <w:sz w:val="24"/>
          <w:szCs w:val="24"/>
          <w:lang w:val="uk-UA"/>
        </w:rPr>
      </w:pPr>
      <w:r w:rsidRPr="00DD0DEF">
        <w:rPr>
          <w:rFonts w:cs="Times New Roman"/>
          <w:b/>
          <w:bCs/>
          <w:sz w:val="24"/>
          <w:szCs w:val="24"/>
          <w:lang w:val="uk-UA"/>
        </w:rPr>
        <w:t>Додаток 3</w:t>
      </w:r>
    </w:p>
    <w:p w14:paraId="6974AAA0" w14:textId="77777777" w:rsidR="0081482B" w:rsidRPr="00DD0DEF" w:rsidRDefault="0081482B" w:rsidP="00DD0DEF">
      <w:pPr>
        <w:spacing w:after="0"/>
        <w:ind w:firstLine="709"/>
        <w:jc w:val="right"/>
        <w:rPr>
          <w:rFonts w:cs="Times New Roman"/>
          <w:i/>
          <w:iCs/>
          <w:sz w:val="24"/>
          <w:szCs w:val="24"/>
          <w:lang w:val="uk-UA"/>
        </w:rPr>
      </w:pPr>
      <w:r w:rsidRPr="00DD0DEF">
        <w:rPr>
          <w:rFonts w:cs="Times New Roman"/>
          <w:i/>
          <w:iCs/>
          <w:sz w:val="24"/>
          <w:szCs w:val="24"/>
          <w:lang w:val="uk-UA"/>
        </w:rPr>
        <w:t>до тендерної документації</w:t>
      </w:r>
    </w:p>
    <w:p w14:paraId="3BC2997C" w14:textId="77777777" w:rsidR="0081482B" w:rsidRPr="00DD0DEF" w:rsidRDefault="0081482B" w:rsidP="0081482B">
      <w:pPr>
        <w:spacing w:after="0"/>
        <w:ind w:firstLine="709"/>
        <w:jc w:val="both"/>
        <w:rPr>
          <w:rFonts w:cs="Times New Roman"/>
          <w:sz w:val="24"/>
          <w:szCs w:val="24"/>
          <w:lang w:val="uk-UA"/>
        </w:rPr>
      </w:pPr>
    </w:p>
    <w:p w14:paraId="33871053" w14:textId="77777777" w:rsidR="0081482B" w:rsidRPr="00DD0DEF" w:rsidRDefault="0081482B" w:rsidP="0081482B">
      <w:pPr>
        <w:spacing w:after="0"/>
        <w:ind w:firstLine="709"/>
        <w:jc w:val="both"/>
        <w:rPr>
          <w:rFonts w:cs="Times New Roman"/>
          <w:sz w:val="24"/>
          <w:szCs w:val="24"/>
          <w:lang w:val="uk-UA"/>
        </w:rPr>
      </w:pPr>
    </w:p>
    <w:p w14:paraId="5F8A17AB" w14:textId="77777777" w:rsidR="0081482B" w:rsidRPr="00DD0DEF" w:rsidRDefault="0081482B" w:rsidP="0081482B">
      <w:pPr>
        <w:spacing w:after="0"/>
        <w:ind w:firstLine="709"/>
        <w:jc w:val="both"/>
        <w:rPr>
          <w:rFonts w:cs="Times New Roman"/>
          <w:b/>
          <w:bCs/>
          <w:sz w:val="24"/>
          <w:szCs w:val="24"/>
          <w:lang w:val="uk-UA"/>
        </w:rPr>
      </w:pPr>
      <w:r w:rsidRPr="00DD0DEF">
        <w:rPr>
          <w:rFonts w:cs="Times New Roman"/>
          <w:b/>
          <w:bCs/>
          <w:sz w:val="24"/>
          <w:szCs w:val="24"/>
          <w:lang w:val="uk-UA"/>
        </w:rPr>
        <w:t>ІНФОРМАЦІЯ ПРО НЕОБХІДНІ ТЕХНІЧНІ, ЯКІСНІ ТА КІЛЬКІСНІ ХАРАКТЕРИСТИКИ ПРЕДМЕТА ЗАКУПІВЛІ</w:t>
      </w:r>
    </w:p>
    <w:p w14:paraId="4FBADAF4" w14:textId="77777777" w:rsidR="0081482B" w:rsidRPr="00DD0DEF" w:rsidRDefault="0081482B" w:rsidP="0081482B">
      <w:pPr>
        <w:spacing w:after="0"/>
        <w:ind w:firstLine="709"/>
        <w:jc w:val="both"/>
        <w:rPr>
          <w:rFonts w:cs="Times New Roman"/>
          <w:sz w:val="24"/>
          <w:szCs w:val="24"/>
          <w:lang w:val="uk-UA"/>
        </w:rPr>
      </w:pPr>
    </w:p>
    <w:p w14:paraId="4E6EA8B1" w14:textId="12B584A5" w:rsidR="0081482B" w:rsidRPr="000979B0" w:rsidRDefault="0081482B" w:rsidP="000979B0">
      <w:pPr>
        <w:spacing w:after="0"/>
        <w:ind w:firstLine="709"/>
        <w:jc w:val="both"/>
        <w:rPr>
          <w:rFonts w:cs="Times New Roman"/>
          <w:b/>
          <w:bCs/>
          <w:sz w:val="24"/>
          <w:szCs w:val="24"/>
          <w:lang w:val="uk-UA"/>
        </w:rPr>
      </w:pPr>
      <w:r w:rsidRPr="00DD0DEF">
        <w:rPr>
          <w:rFonts w:cs="Times New Roman"/>
          <w:sz w:val="24"/>
          <w:szCs w:val="24"/>
          <w:lang w:val="uk-UA"/>
        </w:rPr>
        <w:t xml:space="preserve"> </w:t>
      </w:r>
      <w:r w:rsidRPr="00DD0DEF">
        <w:rPr>
          <w:rFonts w:cs="Times New Roman"/>
          <w:b/>
          <w:bCs/>
          <w:sz w:val="24"/>
          <w:szCs w:val="24"/>
          <w:lang w:val="uk-UA"/>
        </w:rPr>
        <w:t>ДК 021:2015:</w:t>
      </w:r>
      <w:r w:rsidR="001421F0" w:rsidRPr="001421F0">
        <w:rPr>
          <w:rFonts w:cs="Times New Roman"/>
          <w:b/>
          <w:bCs/>
          <w:sz w:val="24"/>
          <w:szCs w:val="24"/>
          <w:lang w:val="uk-UA"/>
        </w:rPr>
        <w:t>09310000-5 – Електрична енергія</w:t>
      </w:r>
      <w:r w:rsidR="00972489">
        <w:rPr>
          <w:rFonts w:cs="Times New Roman"/>
          <w:b/>
          <w:bCs/>
          <w:sz w:val="24"/>
          <w:szCs w:val="24"/>
          <w:lang w:val="uk-UA"/>
        </w:rPr>
        <w:t xml:space="preserve"> </w:t>
      </w:r>
      <w:r w:rsidR="001421F0" w:rsidRPr="001421F0">
        <w:rPr>
          <w:rFonts w:cs="Times New Roman"/>
          <w:b/>
          <w:bCs/>
          <w:sz w:val="24"/>
          <w:szCs w:val="24"/>
          <w:lang w:val="uk-UA"/>
        </w:rPr>
        <w:t>«Постачання електричної енергії»</w:t>
      </w:r>
      <w:r w:rsidRPr="00DD0DEF">
        <w:rPr>
          <w:rFonts w:cs="Times New Roman"/>
          <w:b/>
          <w:bCs/>
          <w:i/>
          <w:iCs/>
          <w:sz w:val="24"/>
          <w:szCs w:val="24"/>
          <w:lang w:val="uk-UA"/>
        </w:rPr>
        <w:t>.</w:t>
      </w:r>
    </w:p>
    <w:tbl>
      <w:tblPr>
        <w:tblStyle w:val="1"/>
        <w:tblW w:w="0" w:type="auto"/>
        <w:tblLook w:val="04A0" w:firstRow="1" w:lastRow="0" w:firstColumn="1" w:lastColumn="0" w:noHBand="0" w:noVBand="1"/>
      </w:tblPr>
      <w:tblGrid>
        <w:gridCol w:w="704"/>
        <w:gridCol w:w="5811"/>
        <w:gridCol w:w="1417"/>
        <w:gridCol w:w="1412"/>
      </w:tblGrid>
      <w:tr w:rsidR="00972489" w:rsidRPr="00972489" w14:paraId="16FB434E" w14:textId="77777777" w:rsidTr="00411463">
        <w:tc>
          <w:tcPr>
            <w:tcW w:w="704" w:type="dxa"/>
            <w:vAlign w:val="center"/>
          </w:tcPr>
          <w:p w14:paraId="7F2155E1" w14:textId="77777777" w:rsidR="00972489" w:rsidRPr="00972489" w:rsidRDefault="00972489" w:rsidP="00972489">
            <w:pPr>
              <w:widowControl w:val="0"/>
              <w:suppressAutoHyphens/>
              <w:autoSpaceDE w:val="0"/>
              <w:contextualSpacing/>
              <w:jc w:val="center"/>
              <w:rPr>
                <w:rFonts w:eastAsia="Times New Roman" w:cs="Times New Roman"/>
                <w:sz w:val="24"/>
                <w:szCs w:val="24"/>
                <w:lang w:val="uk-UA" w:eastAsia="ru-RU"/>
              </w:rPr>
            </w:pPr>
            <w:r w:rsidRPr="00972489">
              <w:rPr>
                <w:rFonts w:eastAsia="Times New Roman" w:cs="Times New Roman"/>
                <w:sz w:val="24"/>
                <w:szCs w:val="24"/>
                <w:lang w:val="uk-UA" w:eastAsia="ru-RU"/>
              </w:rPr>
              <w:t>№ з/п</w:t>
            </w:r>
          </w:p>
        </w:tc>
        <w:tc>
          <w:tcPr>
            <w:tcW w:w="5812" w:type="dxa"/>
            <w:vAlign w:val="center"/>
          </w:tcPr>
          <w:p w14:paraId="3CE89665" w14:textId="77777777" w:rsidR="00972489" w:rsidRPr="00972489" w:rsidRDefault="00972489" w:rsidP="00972489">
            <w:pPr>
              <w:widowControl w:val="0"/>
              <w:suppressAutoHyphens/>
              <w:autoSpaceDE w:val="0"/>
              <w:contextualSpacing/>
              <w:jc w:val="center"/>
              <w:rPr>
                <w:rFonts w:eastAsia="Times New Roman" w:cs="Times New Roman"/>
                <w:sz w:val="24"/>
                <w:szCs w:val="24"/>
                <w:lang w:val="uk-UA" w:eastAsia="ru-RU"/>
              </w:rPr>
            </w:pPr>
            <w:r w:rsidRPr="00972489">
              <w:rPr>
                <w:rFonts w:eastAsia="Times New Roman" w:cs="Times New Roman"/>
                <w:sz w:val="24"/>
                <w:szCs w:val="24"/>
                <w:lang w:val="uk-UA" w:eastAsia="ru-RU"/>
              </w:rPr>
              <w:t>Найменування</w:t>
            </w:r>
          </w:p>
        </w:tc>
        <w:tc>
          <w:tcPr>
            <w:tcW w:w="1417" w:type="dxa"/>
            <w:vAlign w:val="center"/>
          </w:tcPr>
          <w:p w14:paraId="41DE6BB2" w14:textId="77777777" w:rsidR="00972489" w:rsidRPr="00972489" w:rsidRDefault="00972489" w:rsidP="00972489">
            <w:pPr>
              <w:widowControl w:val="0"/>
              <w:suppressAutoHyphens/>
              <w:autoSpaceDE w:val="0"/>
              <w:contextualSpacing/>
              <w:jc w:val="center"/>
              <w:rPr>
                <w:rFonts w:eastAsia="Times New Roman" w:cs="Times New Roman"/>
                <w:sz w:val="24"/>
                <w:szCs w:val="24"/>
                <w:lang w:val="uk-UA" w:eastAsia="ru-RU"/>
              </w:rPr>
            </w:pPr>
            <w:r w:rsidRPr="00972489">
              <w:rPr>
                <w:rFonts w:eastAsia="Times New Roman" w:cs="Times New Roman"/>
                <w:sz w:val="24"/>
                <w:szCs w:val="24"/>
                <w:lang w:val="uk-UA" w:eastAsia="ru-RU"/>
              </w:rPr>
              <w:t>Одиниця виміру</w:t>
            </w:r>
          </w:p>
        </w:tc>
        <w:tc>
          <w:tcPr>
            <w:tcW w:w="1412" w:type="dxa"/>
            <w:vAlign w:val="center"/>
          </w:tcPr>
          <w:p w14:paraId="0CD65EB0" w14:textId="77777777" w:rsidR="00972489" w:rsidRPr="00972489" w:rsidRDefault="00972489" w:rsidP="00972489">
            <w:pPr>
              <w:widowControl w:val="0"/>
              <w:suppressAutoHyphens/>
              <w:autoSpaceDE w:val="0"/>
              <w:contextualSpacing/>
              <w:jc w:val="center"/>
              <w:rPr>
                <w:rFonts w:eastAsia="Times New Roman" w:cs="Times New Roman"/>
                <w:sz w:val="24"/>
                <w:szCs w:val="24"/>
                <w:lang w:val="uk-UA" w:eastAsia="ru-RU"/>
              </w:rPr>
            </w:pPr>
            <w:r w:rsidRPr="00972489">
              <w:rPr>
                <w:rFonts w:eastAsia="Times New Roman" w:cs="Times New Roman"/>
                <w:sz w:val="24"/>
                <w:szCs w:val="24"/>
                <w:lang w:val="uk-UA" w:eastAsia="ru-RU"/>
              </w:rPr>
              <w:t>Кількість</w:t>
            </w:r>
          </w:p>
        </w:tc>
      </w:tr>
      <w:tr w:rsidR="00972489" w:rsidRPr="00972489" w14:paraId="66E073C9" w14:textId="77777777" w:rsidTr="00411463">
        <w:tc>
          <w:tcPr>
            <w:tcW w:w="704" w:type="dxa"/>
            <w:vAlign w:val="center"/>
          </w:tcPr>
          <w:p w14:paraId="4051D81C" w14:textId="77777777" w:rsidR="00972489" w:rsidRPr="00972489" w:rsidRDefault="00972489" w:rsidP="00972489">
            <w:pPr>
              <w:widowControl w:val="0"/>
              <w:suppressAutoHyphens/>
              <w:autoSpaceDE w:val="0"/>
              <w:contextualSpacing/>
              <w:jc w:val="center"/>
              <w:rPr>
                <w:rFonts w:eastAsia="Times New Roman" w:cs="Times New Roman"/>
                <w:sz w:val="24"/>
                <w:szCs w:val="24"/>
                <w:lang w:val="uk-UA" w:eastAsia="ru-RU"/>
              </w:rPr>
            </w:pPr>
            <w:r w:rsidRPr="00972489">
              <w:rPr>
                <w:rFonts w:eastAsia="Times New Roman" w:cs="Times New Roman"/>
                <w:sz w:val="24"/>
                <w:szCs w:val="24"/>
                <w:lang w:val="uk-UA" w:eastAsia="ru-RU"/>
              </w:rPr>
              <w:t>1</w:t>
            </w:r>
          </w:p>
        </w:tc>
        <w:tc>
          <w:tcPr>
            <w:tcW w:w="5812" w:type="dxa"/>
            <w:vAlign w:val="center"/>
          </w:tcPr>
          <w:p w14:paraId="1EDC7CAC" w14:textId="77777777" w:rsidR="00972489" w:rsidRPr="00972489" w:rsidRDefault="00972489" w:rsidP="00972489">
            <w:pPr>
              <w:widowControl w:val="0"/>
              <w:suppressAutoHyphens/>
              <w:autoSpaceDE w:val="0"/>
              <w:contextualSpacing/>
              <w:rPr>
                <w:rFonts w:eastAsia="Times New Roman" w:cs="Times New Roman"/>
                <w:sz w:val="24"/>
                <w:szCs w:val="24"/>
                <w:lang w:val="uk-UA" w:eastAsia="ru-RU"/>
              </w:rPr>
            </w:pPr>
            <w:r w:rsidRPr="00972489">
              <w:rPr>
                <w:rFonts w:eastAsia="Times New Roman" w:cs="Times New Roman"/>
                <w:sz w:val="24"/>
                <w:szCs w:val="24"/>
                <w:lang w:val="uk-UA" w:eastAsia="ru-RU"/>
              </w:rPr>
              <w:t>Постачання електричної енергії (код ДК 021:2015:09310000-5 – Електрична енергія)</w:t>
            </w:r>
          </w:p>
        </w:tc>
        <w:tc>
          <w:tcPr>
            <w:tcW w:w="1417" w:type="dxa"/>
            <w:vAlign w:val="center"/>
          </w:tcPr>
          <w:p w14:paraId="0BA78570" w14:textId="77777777" w:rsidR="00972489" w:rsidRPr="00972489" w:rsidRDefault="00972489" w:rsidP="00972489">
            <w:pPr>
              <w:widowControl w:val="0"/>
              <w:suppressAutoHyphens/>
              <w:autoSpaceDE w:val="0"/>
              <w:contextualSpacing/>
              <w:jc w:val="center"/>
              <w:rPr>
                <w:rFonts w:eastAsia="Times New Roman" w:cs="Times New Roman"/>
                <w:sz w:val="24"/>
                <w:szCs w:val="24"/>
                <w:lang w:val="uk-UA" w:eastAsia="ru-RU"/>
              </w:rPr>
            </w:pPr>
            <w:r w:rsidRPr="00972489">
              <w:rPr>
                <w:rFonts w:eastAsia="Times New Roman" w:cs="Times New Roman"/>
                <w:sz w:val="24"/>
                <w:szCs w:val="24"/>
                <w:lang w:val="uk-UA" w:eastAsia="ru-RU"/>
              </w:rPr>
              <w:t>кВт*год</w:t>
            </w:r>
          </w:p>
        </w:tc>
        <w:tc>
          <w:tcPr>
            <w:tcW w:w="1412" w:type="dxa"/>
            <w:vAlign w:val="center"/>
          </w:tcPr>
          <w:p w14:paraId="34B6E0F2" w14:textId="3CB697D3" w:rsidR="00972489" w:rsidRPr="00972489" w:rsidRDefault="00972489" w:rsidP="00972489">
            <w:pPr>
              <w:widowControl w:val="0"/>
              <w:suppressAutoHyphens/>
              <w:autoSpaceDE w:val="0"/>
              <w:contextualSpacing/>
              <w:jc w:val="center"/>
              <w:rPr>
                <w:rFonts w:eastAsia="Times New Roman" w:cs="Times New Roman"/>
                <w:sz w:val="24"/>
                <w:szCs w:val="24"/>
                <w:lang w:val="uk-UA" w:eastAsia="ru-RU"/>
              </w:rPr>
            </w:pPr>
            <w:r w:rsidRPr="00972489">
              <w:rPr>
                <w:rFonts w:eastAsia="Times New Roman" w:cs="Times New Roman"/>
                <w:sz w:val="24"/>
                <w:szCs w:val="24"/>
                <w:lang w:val="uk-UA" w:eastAsia="ru-RU"/>
              </w:rPr>
              <w:t>2</w:t>
            </w:r>
            <w:r>
              <w:rPr>
                <w:rFonts w:eastAsia="Times New Roman" w:cs="Times New Roman"/>
                <w:sz w:val="24"/>
                <w:szCs w:val="24"/>
                <w:lang w:val="uk-UA" w:eastAsia="ru-RU"/>
              </w:rPr>
              <w:t> 649 145</w:t>
            </w:r>
          </w:p>
        </w:tc>
      </w:tr>
    </w:tbl>
    <w:p w14:paraId="064A7747" w14:textId="77777777" w:rsidR="0081482B" w:rsidRPr="00DD0DEF" w:rsidRDefault="0081482B" w:rsidP="0081482B">
      <w:pPr>
        <w:spacing w:after="0"/>
        <w:ind w:firstLine="709"/>
        <w:jc w:val="both"/>
        <w:rPr>
          <w:rFonts w:cs="Times New Roman"/>
          <w:sz w:val="24"/>
          <w:szCs w:val="24"/>
          <w:lang w:val="uk-UA"/>
        </w:rPr>
      </w:pPr>
    </w:p>
    <w:p w14:paraId="3735C08A" w14:textId="77777777" w:rsidR="00233834" w:rsidRPr="00233834" w:rsidRDefault="00233834" w:rsidP="00233834">
      <w:pPr>
        <w:spacing w:after="0"/>
        <w:jc w:val="both"/>
        <w:rPr>
          <w:rFonts w:cs="Times New Roman"/>
          <w:sz w:val="24"/>
          <w:szCs w:val="24"/>
          <w:lang w:val="uk-UA"/>
        </w:rPr>
      </w:pPr>
    </w:p>
    <w:p w14:paraId="7A2E4BF7" w14:textId="4CBA98C0" w:rsidR="00972489" w:rsidRPr="00972489" w:rsidRDefault="00972489" w:rsidP="00972489">
      <w:pPr>
        <w:widowControl w:val="0"/>
        <w:suppressAutoHyphens/>
        <w:autoSpaceDE w:val="0"/>
        <w:spacing w:after="0"/>
        <w:ind w:left="720"/>
        <w:contextualSpacing/>
        <w:rPr>
          <w:rFonts w:eastAsia="Times New Roman" w:cs="Times New Roman"/>
          <w:kern w:val="0"/>
          <w:sz w:val="24"/>
          <w:szCs w:val="24"/>
          <w:lang w:val="uk-UA" w:eastAsia="ru-RU"/>
          <w14:ligatures w14:val="none"/>
        </w:rPr>
      </w:pPr>
      <w:r w:rsidRPr="00972489">
        <w:rPr>
          <w:rFonts w:eastAsia="Times New Roman" w:cs="Times New Roman"/>
          <w:b/>
          <w:kern w:val="0"/>
          <w:sz w:val="24"/>
          <w:szCs w:val="24"/>
          <w:lang w:eastAsia="ru-RU"/>
          <w14:ligatures w14:val="none"/>
        </w:rPr>
        <w:t>Строк поставки Товару</w:t>
      </w:r>
      <w:r w:rsidRPr="00972489">
        <w:rPr>
          <w:rFonts w:eastAsia="Times New Roman" w:cs="Times New Roman"/>
          <w:b/>
          <w:kern w:val="0"/>
          <w:sz w:val="24"/>
          <w:szCs w:val="24"/>
          <w:lang w:val="uk-UA" w:eastAsia="ru-RU"/>
          <w14:ligatures w14:val="none"/>
        </w:rPr>
        <w:t>:</w:t>
      </w:r>
      <w:r w:rsidRPr="00972489">
        <w:rPr>
          <w:rFonts w:eastAsia="Times New Roman" w:cs="Times New Roman"/>
          <w:kern w:val="0"/>
          <w:sz w:val="24"/>
          <w:szCs w:val="24"/>
          <w:lang w:val="uk-UA" w:eastAsia="ru-RU"/>
          <w14:ligatures w14:val="none"/>
        </w:rPr>
        <w:t xml:space="preserve"> січень - грудень 202</w:t>
      </w:r>
      <w:r>
        <w:rPr>
          <w:rFonts w:eastAsia="Times New Roman" w:cs="Times New Roman"/>
          <w:kern w:val="0"/>
          <w:sz w:val="24"/>
          <w:szCs w:val="24"/>
          <w:lang w:val="uk-UA" w:eastAsia="ru-RU"/>
          <w14:ligatures w14:val="none"/>
        </w:rPr>
        <w:t>4</w:t>
      </w:r>
      <w:r w:rsidRPr="00972489">
        <w:rPr>
          <w:rFonts w:eastAsia="Times New Roman" w:cs="Times New Roman"/>
          <w:kern w:val="0"/>
          <w:sz w:val="24"/>
          <w:szCs w:val="24"/>
          <w:lang w:val="uk-UA" w:eastAsia="ru-RU"/>
          <w14:ligatures w14:val="none"/>
        </w:rPr>
        <w:t xml:space="preserve"> року.</w:t>
      </w:r>
    </w:p>
    <w:p w14:paraId="5D254807" w14:textId="77777777" w:rsidR="00972489" w:rsidRPr="00972489" w:rsidRDefault="00972489" w:rsidP="00972489">
      <w:pPr>
        <w:widowControl w:val="0"/>
        <w:suppressAutoHyphens/>
        <w:autoSpaceDE w:val="0"/>
        <w:spacing w:after="0"/>
        <w:ind w:left="720"/>
        <w:contextualSpacing/>
        <w:rPr>
          <w:rFonts w:eastAsia="Times New Roman" w:cs="Times New Roman"/>
          <w:kern w:val="0"/>
          <w:sz w:val="24"/>
          <w:szCs w:val="24"/>
          <w:lang w:val="uk-UA" w:eastAsia="ru-RU"/>
          <w14:ligatures w14:val="none"/>
        </w:rPr>
      </w:pPr>
    </w:p>
    <w:p w14:paraId="7A4913C6" w14:textId="77777777" w:rsidR="00972489" w:rsidRPr="00972489" w:rsidRDefault="00972489" w:rsidP="00972489">
      <w:pPr>
        <w:widowControl w:val="0"/>
        <w:suppressAutoHyphens/>
        <w:autoSpaceDE w:val="0"/>
        <w:spacing w:after="0"/>
        <w:ind w:left="-425" w:firstLine="709"/>
        <w:contextualSpacing/>
        <w:rPr>
          <w:rFonts w:eastAsia="Times New Roman" w:cs="Times New Roman"/>
          <w:kern w:val="0"/>
          <w:sz w:val="24"/>
          <w:szCs w:val="24"/>
          <w:lang w:val="uk-UA" w:eastAsia="ru-RU"/>
          <w14:ligatures w14:val="none"/>
        </w:rPr>
      </w:pPr>
      <w:r w:rsidRPr="00972489">
        <w:rPr>
          <w:rFonts w:eastAsia="Times New Roman" w:cs="Times New Roman"/>
          <w:b/>
          <w:kern w:val="0"/>
          <w:sz w:val="24"/>
          <w:szCs w:val="24"/>
          <w:lang w:val="uk-UA" w:eastAsia="ru-RU"/>
          <w14:ligatures w14:val="none"/>
        </w:rPr>
        <w:t>Місце поставки (передачі) Товару</w:t>
      </w:r>
      <w:r w:rsidRPr="00972489">
        <w:rPr>
          <w:rFonts w:eastAsia="Times New Roman" w:cs="Times New Roman"/>
          <w:kern w:val="0"/>
          <w:sz w:val="24"/>
          <w:szCs w:val="24"/>
          <w:lang w:val="uk-UA" w:eastAsia="ru-RU"/>
          <w14:ligatures w14:val="none"/>
        </w:rPr>
        <w:t xml:space="preserve"> - об’єкти Комунального підприємства «Вараштепловодоканал» Вараської міської ради, підключені до місцевих розподільчих мереж відповідно до вимог Кодексу розподільчих систем.</w:t>
      </w:r>
    </w:p>
    <w:p w14:paraId="60888DF6" w14:textId="77777777" w:rsidR="00972489" w:rsidRPr="00972489" w:rsidRDefault="00972489" w:rsidP="00972489">
      <w:pPr>
        <w:widowControl w:val="0"/>
        <w:suppressAutoHyphens/>
        <w:autoSpaceDE w:val="0"/>
        <w:spacing w:after="0"/>
        <w:ind w:left="284"/>
        <w:contextualSpacing/>
        <w:rPr>
          <w:rFonts w:eastAsia="Times New Roman" w:cs="Times New Roman"/>
          <w:kern w:val="0"/>
          <w:sz w:val="24"/>
          <w:szCs w:val="24"/>
          <w:lang w:val="uk-UA" w:eastAsia="ru-RU"/>
          <w14:ligatures w14:val="none"/>
        </w:rPr>
      </w:pPr>
      <w:r w:rsidRPr="00972489">
        <w:rPr>
          <w:rFonts w:eastAsia="Times New Roman" w:cs="Times New Roman"/>
          <w:kern w:val="0"/>
          <w:sz w:val="24"/>
          <w:szCs w:val="24"/>
          <w:lang w:val="uk-UA" w:eastAsia="ru-RU"/>
          <w14:ligatures w14:val="none"/>
        </w:rPr>
        <w:t xml:space="preserve">1. Адміністративна будівля ВТВК (м-н Вараш, 25В) </w:t>
      </w:r>
    </w:p>
    <w:p w14:paraId="71BAFA18" w14:textId="77777777" w:rsidR="00972489" w:rsidRPr="00972489" w:rsidRDefault="00972489" w:rsidP="00972489">
      <w:pPr>
        <w:widowControl w:val="0"/>
        <w:suppressAutoHyphens/>
        <w:autoSpaceDE w:val="0"/>
        <w:spacing w:after="0"/>
        <w:ind w:left="284"/>
        <w:contextualSpacing/>
        <w:rPr>
          <w:rFonts w:eastAsia="Times New Roman" w:cs="Times New Roman"/>
          <w:kern w:val="0"/>
          <w:sz w:val="24"/>
          <w:szCs w:val="24"/>
          <w:lang w:val="uk-UA" w:eastAsia="ru-RU"/>
          <w14:ligatures w14:val="none"/>
        </w:rPr>
      </w:pPr>
      <w:r w:rsidRPr="00972489">
        <w:rPr>
          <w:rFonts w:eastAsia="Times New Roman" w:cs="Times New Roman"/>
          <w:kern w:val="0"/>
          <w:sz w:val="24"/>
          <w:szCs w:val="24"/>
          <w:lang w:val="uk-UA" w:eastAsia="ru-RU"/>
          <w14:ligatures w14:val="none"/>
        </w:rPr>
        <w:t>2. Адміністративна будівля (м-н Перемоги, 23)</w:t>
      </w:r>
    </w:p>
    <w:p w14:paraId="2D1961DB" w14:textId="77777777" w:rsidR="00972489" w:rsidRPr="00972489" w:rsidRDefault="00972489" w:rsidP="00972489">
      <w:pPr>
        <w:widowControl w:val="0"/>
        <w:suppressAutoHyphens/>
        <w:autoSpaceDE w:val="0"/>
        <w:spacing w:after="0"/>
        <w:ind w:left="284"/>
        <w:contextualSpacing/>
        <w:rPr>
          <w:rFonts w:eastAsia="Times New Roman" w:cs="Times New Roman"/>
          <w:kern w:val="0"/>
          <w:sz w:val="24"/>
          <w:szCs w:val="24"/>
          <w:lang w:val="uk-UA" w:eastAsia="ru-RU"/>
          <w14:ligatures w14:val="none"/>
        </w:rPr>
      </w:pPr>
      <w:r w:rsidRPr="00972489">
        <w:rPr>
          <w:rFonts w:eastAsia="Times New Roman" w:cs="Times New Roman"/>
          <w:kern w:val="0"/>
          <w:sz w:val="24"/>
          <w:szCs w:val="24"/>
          <w:lang w:val="uk-UA" w:eastAsia="ru-RU"/>
          <w14:ligatures w14:val="none"/>
        </w:rPr>
        <w:t>3. Адміністративна будівля ЕТС (проспект Шевченка)</w:t>
      </w:r>
    </w:p>
    <w:p w14:paraId="41CBE134" w14:textId="77777777" w:rsidR="00972489" w:rsidRPr="00972489" w:rsidRDefault="00972489" w:rsidP="00972489">
      <w:pPr>
        <w:widowControl w:val="0"/>
        <w:suppressAutoHyphens/>
        <w:autoSpaceDE w:val="0"/>
        <w:spacing w:after="0"/>
        <w:ind w:left="284"/>
        <w:contextualSpacing/>
        <w:rPr>
          <w:rFonts w:eastAsia="Times New Roman" w:cs="Times New Roman"/>
          <w:kern w:val="0"/>
          <w:sz w:val="24"/>
          <w:szCs w:val="24"/>
          <w:lang w:val="uk-UA" w:eastAsia="ru-RU"/>
          <w14:ligatures w14:val="none"/>
        </w:rPr>
      </w:pPr>
      <w:r w:rsidRPr="00972489">
        <w:rPr>
          <w:rFonts w:eastAsia="Times New Roman" w:cs="Times New Roman"/>
          <w:kern w:val="0"/>
          <w:sz w:val="24"/>
          <w:szCs w:val="24"/>
          <w:lang w:val="uk-UA" w:eastAsia="ru-RU"/>
          <w14:ligatures w14:val="none"/>
        </w:rPr>
        <w:t>4. Нежитл. приміщ. №176 (м-н Вараш, 19)</w:t>
      </w:r>
    </w:p>
    <w:p w14:paraId="458B6F24" w14:textId="77777777" w:rsidR="00972489" w:rsidRPr="00972489" w:rsidRDefault="00972489" w:rsidP="00972489">
      <w:pPr>
        <w:widowControl w:val="0"/>
        <w:suppressAutoHyphens/>
        <w:autoSpaceDE w:val="0"/>
        <w:spacing w:after="0"/>
        <w:ind w:left="284"/>
        <w:contextualSpacing/>
        <w:rPr>
          <w:rFonts w:eastAsia="Times New Roman" w:cs="Times New Roman"/>
          <w:kern w:val="0"/>
          <w:sz w:val="24"/>
          <w:szCs w:val="24"/>
          <w:lang w:val="uk-UA" w:eastAsia="ru-RU"/>
          <w14:ligatures w14:val="none"/>
        </w:rPr>
      </w:pPr>
      <w:r w:rsidRPr="00972489">
        <w:rPr>
          <w:rFonts w:eastAsia="Times New Roman" w:cs="Times New Roman"/>
          <w:kern w:val="0"/>
          <w:sz w:val="24"/>
          <w:szCs w:val="24"/>
          <w:lang w:val="uk-UA" w:eastAsia="ru-RU"/>
          <w14:ligatures w14:val="none"/>
        </w:rPr>
        <w:t>5. Нежитл. приміщ. №99 (м-н Вараш, 24Б)</w:t>
      </w:r>
    </w:p>
    <w:p w14:paraId="11339D76" w14:textId="0E1A1E9A" w:rsidR="00972489" w:rsidRPr="00972489" w:rsidRDefault="00972489" w:rsidP="00972489">
      <w:pPr>
        <w:widowControl w:val="0"/>
        <w:suppressAutoHyphens/>
        <w:autoSpaceDE w:val="0"/>
        <w:spacing w:after="0"/>
        <w:ind w:left="284"/>
        <w:contextualSpacing/>
        <w:rPr>
          <w:rFonts w:eastAsia="Times New Roman" w:cs="Times New Roman"/>
          <w:kern w:val="0"/>
          <w:sz w:val="24"/>
          <w:szCs w:val="24"/>
          <w:lang w:val="uk-UA" w:eastAsia="ru-RU"/>
          <w14:ligatures w14:val="none"/>
        </w:rPr>
      </w:pPr>
      <w:r w:rsidRPr="00972489">
        <w:rPr>
          <w:rFonts w:eastAsia="Times New Roman" w:cs="Times New Roman"/>
          <w:kern w:val="0"/>
          <w:sz w:val="24"/>
          <w:szCs w:val="24"/>
          <w:lang w:val="uk-UA" w:eastAsia="ru-RU"/>
          <w14:ligatures w14:val="none"/>
        </w:rPr>
        <w:t xml:space="preserve">6. Полігон по захорон. </w:t>
      </w:r>
      <w:r>
        <w:rPr>
          <w:rFonts w:eastAsia="Times New Roman" w:cs="Times New Roman"/>
          <w:kern w:val="0"/>
          <w:sz w:val="24"/>
          <w:szCs w:val="24"/>
          <w:lang w:val="uk-UA" w:eastAsia="ru-RU"/>
          <w14:ligatures w14:val="none"/>
        </w:rPr>
        <w:t>п</w:t>
      </w:r>
      <w:r w:rsidRPr="00972489">
        <w:rPr>
          <w:rFonts w:eastAsia="Times New Roman" w:cs="Times New Roman"/>
          <w:kern w:val="0"/>
          <w:sz w:val="24"/>
          <w:szCs w:val="24"/>
          <w:lang w:val="uk-UA" w:eastAsia="ru-RU"/>
          <w14:ligatures w14:val="none"/>
        </w:rPr>
        <w:t>обутового сміття (Рівненська обл., Володимирецький р-н, Лозківська с/р)</w:t>
      </w:r>
    </w:p>
    <w:p w14:paraId="042C6221" w14:textId="77777777" w:rsidR="00972489" w:rsidRPr="00972489" w:rsidRDefault="00972489" w:rsidP="00972489">
      <w:pPr>
        <w:widowControl w:val="0"/>
        <w:suppressAutoHyphens/>
        <w:autoSpaceDE w:val="0"/>
        <w:spacing w:after="0"/>
        <w:ind w:left="284"/>
        <w:contextualSpacing/>
        <w:rPr>
          <w:rFonts w:eastAsia="Times New Roman" w:cs="Times New Roman"/>
          <w:kern w:val="0"/>
          <w:sz w:val="24"/>
          <w:szCs w:val="24"/>
          <w:lang w:val="uk-UA" w:eastAsia="ru-RU"/>
          <w14:ligatures w14:val="none"/>
        </w:rPr>
      </w:pPr>
      <w:r w:rsidRPr="00972489">
        <w:rPr>
          <w:rFonts w:eastAsia="Times New Roman" w:cs="Times New Roman"/>
          <w:kern w:val="0"/>
          <w:sz w:val="24"/>
          <w:szCs w:val="24"/>
          <w:lang w:val="uk-UA" w:eastAsia="ru-RU"/>
          <w14:ligatures w14:val="none"/>
        </w:rPr>
        <w:t>7. Автотранспортна служба (вул. Промислова зона, 22)</w:t>
      </w:r>
    </w:p>
    <w:p w14:paraId="35BD508C" w14:textId="77777777" w:rsidR="00972489" w:rsidRPr="00972489" w:rsidRDefault="00972489" w:rsidP="00972489">
      <w:pPr>
        <w:widowControl w:val="0"/>
        <w:suppressAutoHyphens/>
        <w:autoSpaceDE w:val="0"/>
        <w:spacing w:after="0"/>
        <w:ind w:left="284"/>
        <w:contextualSpacing/>
        <w:rPr>
          <w:rFonts w:eastAsia="Times New Roman" w:cs="Times New Roman"/>
          <w:kern w:val="0"/>
          <w:sz w:val="24"/>
          <w:szCs w:val="24"/>
          <w:lang w:val="uk-UA" w:eastAsia="ru-RU"/>
          <w14:ligatures w14:val="none"/>
        </w:rPr>
      </w:pPr>
      <w:r w:rsidRPr="00972489">
        <w:rPr>
          <w:rFonts w:eastAsia="Times New Roman" w:cs="Times New Roman"/>
          <w:kern w:val="0"/>
          <w:sz w:val="24"/>
          <w:szCs w:val="24"/>
          <w:lang w:val="uk-UA" w:eastAsia="ru-RU"/>
          <w14:ligatures w14:val="none"/>
        </w:rPr>
        <w:t>8. Тепловий пунтк – 5 (вул. Теплична)</w:t>
      </w:r>
    </w:p>
    <w:p w14:paraId="3AC7EC6B" w14:textId="77777777" w:rsidR="00972489" w:rsidRPr="00972489" w:rsidRDefault="00972489" w:rsidP="00972489">
      <w:pPr>
        <w:widowControl w:val="0"/>
        <w:suppressAutoHyphens/>
        <w:autoSpaceDE w:val="0"/>
        <w:spacing w:after="0"/>
        <w:ind w:left="284"/>
        <w:contextualSpacing/>
        <w:rPr>
          <w:rFonts w:eastAsia="Times New Roman" w:cs="Times New Roman"/>
          <w:kern w:val="0"/>
          <w:sz w:val="24"/>
          <w:szCs w:val="24"/>
          <w:lang w:val="uk-UA" w:eastAsia="ru-RU"/>
          <w14:ligatures w14:val="none"/>
        </w:rPr>
      </w:pPr>
      <w:r w:rsidRPr="00972489">
        <w:rPr>
          <w:rFonts w:eastAsia="Times New Roman" w:cs="Times New Roman"/>
          <w:kern w:val="0"/>
          <w:sz w:val="24"/>
          <w:szCs w:val="24"/>
          <w:lang w:val="uk-UA" w:eastAsia="ru-RU"/>
          <w14:ligatures w14:val="none"/>
        </w:rPr>
        <w:t>9. Каналізаційна насосна станція №1 (вул. Паркова)</w:t>
      </w:r>
    </w:p>
    <w:p w14:paraId="22C58B61" w14:textId="77777777" w:rsidR="00972489" w:rsidRPr="00972489" w:rsidRDefault="00972489" w:rsidP="00972489">
      <w:pPr>
        <w:widowControl w:val="0"/>
        <w:suppressAutoHyphens/>
        <w:autoSpaceDE w:val="0"/>
        <w:spacing w:after="0"/>
        <w:ind w:left="284"/>
        <w:contextualSpacing/>
        <w:rPr>
          <w:rFonts w:eastAsia="Times New Roman" w:cs="Times New Roman"/>
          <w:kern w:val="0"/>
          <w:sz w:val="24"/>
          <w:szCs w:val="24"/>
          <w:lang w:val="uk-UA" w:eastAsia="ru-RU"/>
          <w14:ligatures w14:val="none"/>
        </w:rPr>
      </w:pPr>
      <w:r w:rsidRPr="00972489">
        <w:rPr>
          <w:rFonts w:eastAsia="Times New Roman" w:cs="Times New Roman"/>
          <w:kern w:val="0"/>
          <w:sz w:val="24"/>
          <w:szCs w:val="24"/>
          <w:lang w:val="uk-UA" w:eastAsia="ru-RU"/>
          <w14:ligatures w14:val="none"/>
        </w:rPr>
        <w:t>10. Каналізаційна насосна станція №2 (вул. Старорафалівська, 1А)</w:t>
      </w:r>
    </w:p>
    <w:p w14:paraId="0F80DF29" w14:textId="77777777" w:rsidR="00972489" w:rsidRPr="00972489" w:rsidRDefault="00972489" w:rsidP="00972489">
      <w:pPr>
        <w:widowControl w:val="0"/>
        <w:suppressAutoHyphens/>
        <w:autoSpaceDE w:val="0"/>
        <w:spacing w:after="0"/>
        <w:ind w:left="284"/>
        <w:contextualSpacing/>
        <w:rPr>
          <w:rFonts w:eastAsia="Times New Roman" w:cs="Times New Roman"/>
          <w:kern w:val="0"/>
          <w:sz w:val="24"/>
          <w:szCs w:val="24"/>
          <w:lang w:val="uk-UA" w:eastAsia="ru-RU"/>
          <w14:ligatures w14:val="none"/>
        </w:rPr>
      </w:pPr>
      <w:r w:rsidRPr="00972489">
        <w:rPr>
          <w:rFonts w:eastAsia="Times New Roman" w:cs="Times New Roman"/>
          <w:kern w:val="0"/>
          <w:sz w:val="24"/>
          <w:szCs w:val="24"/>
          <w:lang w:val="uk-UA" w:eastAsia="ru-RU"/>
          <w14:ligatures w14:val="none"/>
        </w:rPr>
        <w:t>11. Каналізаційна насосна станція №3 (вул. Бондаренка)</w:t>
      </w:r>
    </w:p>
    <w:p w14:paraId="5DFDCFFB" w14:textId="77777777" w:rsidR="00972489" w:rsidRPr="00972489" w:rsidRDefault="00972489" w:rsidP="00972489">
      <w:pPr>
        <w:widowControl w:val="0"/>
        <w:suppressAutoHyphens/>
        <w:autoSpaceDE w:val="0"/>
        <w:spacing w:after="0"/>
        <w:ind w:left="284"/>
        <w:contextualSpacing/>
        <w:rPr>
          <w:rFonts w:eastAsia="Times New Roman" w:cs="Times New Roman"/>
          <w:kern w:val="0"/>
          <w:sz w:val="24"/>
          <w:szCs w:val="24"/>
          <w:lang w:val="uk-UA" w:eastAsia="ru-RU"/>
          <w14:ligatures w14:val="none"/>
        </w:rPr>
      </w:pPr>
      <w:r w:rsidRPr="00972489">
        <w:rPr>
          <w:rFonts w:eastAsia="Times New Roman" w:cs="Times New Roman"/>
          <w:kern w:val="0"/>
          <w:sz w:val="24"/>
          <w:szCs w:val="24"/>
          <w:lang w:val="uk-UA" w:eastAsia="ru-RU"/>
          <w14:ligatures w14:val="none"/>
        </w:rPr>
        <w:t>12. Каналізаційна насосна станція АТП (Пром. зона)</w:t>
      </w:r>
    </w:p>
    <w:p w14:paraId="6D20B0D7" w14:textId="77777777" w:rsidR="00972489" w:rsidRPr="00972489" w:rsidRDefault="00972489" w:rsidP="00972489">
      <w:pPr>
        <w:widowControl w:val="0"/>
        <w:suppressAutoHyphens/>
        <w:autoSpaceDE w:val="0"/>
        <w:spacing w:after="0"/>
        <w:ind w:left="284"/>
        <w:contextualSpacing/>
        <w:rPr>
          <w:rFonts w:eastAsia="Times New Roman" w:cs="Times New Roman"/>
          <w:kern w:val="0"/>
          <w:sz w:val="24"/>
          <w:szCs w:val="24"/>
          <w:lang w:val="uk-UA" w:eastAsia="ru-RU"/>
          <w14:ligatures w14:val="none"/>
        </w:rPr>
      </w:pPr>
      <w:r w:rsidRPr="00972489">
        <w:rPr>
          <w:rFonts w:eastAsia="Times New Roman" w:cs="Times New Roman"/>
          <w:kern w:val="0"/>
          <w:sz w:val="24"/>
          <w:szCs w:val="24"/>
          <w:lang w:val="uk-UA" w:eastAsia="ru-RU"/>
          <w14:ligatures w14:val="none"/>
        </w:rPr>
        <w:t>13. Міські очисні споруди (вул. Промислова зона, 34)</w:t>
      </w:r>
    </w:p>
    <w:p w14:paraId="1A2D0E16" w14:textId="77777777" w:rsidR="00972489" w:rsidRPr="00972489" w:rsidRDefault="00972489" w:rsidP="00972489">
      <w:pPr>
        <w:widowControl w:val="0"/>
        <w:suppressAutoHyphens/>
        <w:autoSpaceDE w:val="0"/>
        <w:spacing w:after="0"/>
        <w:ind w:left="284"/>
        <w:contextualSpacing/>
        <w:rPr>
          <w:rFonts w:eastAsia="Times New Roman" w:cs="Times New Roman"/>
          <w:kern w:val="0"/>
          <w:sz w:val="24"/>
          <w:szCs w:val="24"/>
          <w:lang w:val="uk-UA" w:eastAsia="ru-RU"/>
          <w14:ligatures w14:val="none"/>
        </w:rPr>
      </w:pPr>
      <w:r w:rsidRPr="00972489">
        <w:rPr>
          <w:rFonts w:eastAsia="Times New Roman" w:cs="Times New Roman"/>
          <w:kern w:val="0"/>
          <w:sz w:val="24"/>
          <w:szCs w:val="24"/>
          <w:lang w:val="uk-UA" w:eastAsia="ru-RU"/>
          <w14:ligatures w14:val="none"/>
        </w:rPr>
        <w:t>14. Артезіанська свердловина №1 (м-н Перемоги, 54)</w:t>
      </w:r>
    </w:p>
    <w:p w14:paraId="4D821DB6" w14:textId="77777777" w:rsidR="00972489" w:rsidRPr="00972489" w:rsidRDefault="00972489" w:rsidP="00972489">
      <w:pPr>
        <w:widowControl w:val="0"/>
        <w:suppressAutoHyphens/>
        <w:autoSpaceDE w:val="0"/>
        <w:spacing w:after="0"/>
        <w:ind w:left="284"/>
        <w:contextualSpacing/>
        <w:rPr>
          <w:rFonts w:eastAsia="Times New Roman" w:cs="Times New Roman"/>
          <w:kern w:val="0"/>
          <w:sz w:val="24"/>
          <w:szCs w:val="24"/>
          <w:lang w:val="uk-UA" w:eastAsia="ru-RU"/>
          <w14:ligatures w14:val="none"/>
        </w:rPr>
      </w:pPr>
      <w:r w:rsidRPr="00972489">
        <w:rPr>
          <w:rFonts w:eastAsia="Times New Roman" w:cs="Times New Roman"/>
          <w:kern w:val="0"/>
          <w:sz w:val="24"/>
          <w:szCs w:val="24"/>
          <w:lang w:val="uk-UA" w:eastAsia="ru-RU"/>
          <w14:ligatures w14:val="none"/>
        </w:rPr>
        <w:t>15. Артезіанська свердловина №2 (м-н Перемоги, 54)</w:t>
      </w:r>
    </w:p>
    <w:p w14:paraId="13BAA00B" w14:textId="77777777" w:rsidR="00972489" w:rsidRPr="00972489" w:rsidRDefault="00972489" w:rsidP="00972489">
      <w:pPr>
        <w:widowControl w:val="0"/>
        <w:suppressAutoHyphens/>
        <w:autoSpaceDE w:val="0"/>
        <w:spacing w:after="0"/>
        <w:ind w:left="284"/>
        <w:contextualSpacing/>
        <w:rPr>
          <w:rFonts w:eastAsia="Times New Roman" w:cs="Times New Roman"/>
          <w:kern w:val="0"/>
          <w:sz w:val="24"/>
          <w:szCs w:val="24"/>
          <w:lang w:val="uk-UA" w:eastAsia="ru-RU"/>
          <w14:ligatures w14:val="none"/>
        </w:rPr>
      </w:pPr>
      <w:r w:rsidRPr="00972489">
        <w:rPr>
          <w:rFonts w:eastAsia="Times New Roman" w:cs="Times New Roman"/>
          <w:kern w:val="0"/>
          <w:sz w:val="24"/>
          <w:szCs w:val="24"/>
          <w:lang w:val="uk-UA" w:eastAsia="ru-RU"/>
          <w14:ligatures w14:val="none"/>
        </w:rPr>
        <w:t>16. Артезіанська свердловина №3 (м-н Перемоги, 54)</w:t>
      </w:r>
    </w:p>
    <w:p w14:paraId="799A8010" w14:textId="77777777" w:rsidR="00972489" w:rsidRPr="00972489" w:rsidRDefault="00972489" w:rsidP="00972489">
      <w:pPr>
        <w:widowControl w:val="0"/>
        <w:suppressAutoHyphens/>
        <w:autoSpaceDE w:val="0"/>
        <w:spacing w:after="0"/>
        <w:ind w:left="284"/>
        <w:contextualSpacing/>
        <w:rPr>
          <w:rFonts w:eastAsia="Times New Roman" w:cs="Times New Roman"/>
          <w:kern w:val="0"/>
          <w:sz w:val="24"/>
          <w:szCs w:val="24"/>
          <w:lang w:val="uk-UA" w:eastAsia="ru-RU"/>
          <w14:ligatures w14:val="none"/>
        </w:rPr>
      </w:pPr>
      <w:r w:rsidRPr="00972489">
        <w:rPr>
          <w:rFonts w:eastAsia="Times New Roman" w:cs="Times New Roman"/>
          <w:kern w:val="0"/>
          <w:sz w:val="24"/>
          <w:szCs w:val="24"/>
          <w:lang w:val="uk-UA" w:eastAsia="ru-RU"/>
          <w14:ligatures w14:val="none"/>
        </w:rPr>
        <w:t>17. Артезіанська свердловина №4 (м-н Перемоги, 54)</w:t>
      </w:r>
    </w:p>
    <w:p w14:paraId="372FDD40" w14:textId="77777777" w:rsidR="00972489" w:rsidRPr="00972489" w:rsidRDefault="00972489" w:rsidP="00972489">
      <w:pPr>
        <w:widowControl w:val="0"/>
        <w:suppressAutoHyphens/>
        <w:autoSpaceDE w:val="0"/>
        <w:spacing w:after="0"/>
        <w:ind w:left="284"/>
        <w:contextualSpacing/>
        <w:rPr>
          <w:rFonts w:eastAsia="Times New Roman" w:cs="Times New Roman"/>
          <w:kern w:val="0"/>
          <w:sz w:val="24"/>
          <w:szCs w:val="24"/>
          <w:lang w:val="uk-UA" w:eastAsia="ru-RU"/>
          <w14:ligatures w14:val="none"/>
        </w:rPr>
      </w:pPr>
      <w:r w:rsidRPr="00972489">
        <w:rPr>
          <w:rFonts w:eastAsia="Times New Roman" w:cs="Times New Roman"/>
          <w:kern w:val="0"/>
          <w:sz w:val="24"/>
          <w:szCs w:val="24"/>
          <w:lang w:val="uk-UA" w:eastAsia="ru-RU"/>
          <w14:ligatures w14:val="none"/>
        </w:rPr>
        <w:t>18. Артезіанська свердловина №5 (м-н Перемоги, 54)</w:t>
      </w:r>
    </w:p>
    <w:p w14:paraId="4247A868" w14:textId="77777777" w:rsidR="00972489" w:rsidRPr="00972489" w:rsidRDefault="00972489" w:rsidP="00972489">
      <w:pPr>
        <w:widowControl w:val="0"/>
        <w:suppressAutoHyphens/>
        <w:autoSpaceDE w:val="0"/>
        <w:spacing w:after="0"/>
        <w:ind w:left="284"/>
        <w:contextualSpacing/>
        <w:rPr>
          <w:rFonts w:eastAsia="Times New Roman" w:cs="Times New Roman"/>
          <w:kern w:val="0"/>
          <w:sz w:val="24"/>
          <w:szCs w:val="24"/>
          <w:lang w:val="uk-UA" w:eastAsia="ru-RU"/>
          <w14:ligatures w14:val="none"/>
        </w:rPr>
      </w:pPr>
      <w:r w:rsidRPr="00972489">
        <w:rPr>
          <w:rFonts w:eastAsia="Times New Roman" w:cs="Times New Roman"/>
          <w:kern w:val="0"/>
          <w:sz w:val="24"/>
          <w:szCs w:val="24"/>
          <w:lang w:val="uk-UA" w:eastAsia="ru-RU"/>
          <w14:ligatures w14:val="none"/>
        </w:rPr>
        <w:t>19 Артезіанська свердловина №7 (м-н Перемоги, 54)</w:t>
      </w:r>
    </w:p>
    <w:p w14:paraId="5214748C" w14:textId="77777777" w:rsidR="00972489" w:rsidRPr="00972489" w:rsidRDefault="00972489" w:rsidP="00972489">
      <w:pPr>
        <w:widowControl w:val="0"/>
        <w:suppressAutoHyphens/>
        <w:autoSpaceDE w:val="0"/>
        <w:spacing w:after="0"/>
        <w:ind w:left="284"/>
        <w:contextualSpacing/>
        <w:rPr>
          <w:rFonts w:eastAsia="Times New Roman" w:cs="Times New Roman"/>
          <w:kern w:val="0"/>
          <w:sz w:val="24"/>
          <w:szCs w:val="24"/>
          <w:lang w:val="uk-UA" w:eastAsia="ru-RU"/>
          <w14:ligatures w14:val="none"/>
        </w:rPr>
      </w:pPr>
      <w:r w:rsidRPr="00972489">
        <w:rPr>
          <w:rFonts w:eastAsia="Times New Roman" w:cs="Times New Roman"/>
          <w:kern w:val="0"/>
          <w:sz w:val="24"/>
          <w:szCs w:val="24"/>
          <w:lang w:val="uk-UA" w:eastAsia="ru-RU"/>
          <w14:ligatures w14:val="none"/>
        </w:rPr>
        <w:t>20. Насосна II підйому (м-н Перемоги, 54)</w:t>
      </w:r>
    </w:p>
    <w:p w14:paraId="75C805BC" w14:textId="77777777" w:rsidR="00972489" w:rsidRPr="00972489" w:rsidRDefault="00972489" w:rsidP="00972489">
      <w:pPr>
        <w:widowControl w:val="0"/>
        <w:suppressAutoHyphens/>
        <w:autoSpaceDE w:val="0"/>
        <w:spacing w:after="0"/>
        <w:ind w:left="284"/>
        <w:contextualSpacing/>
        <w:rPr>
          <w:rFonts w:eastAsia="Times New Roman" w:cs="Times New Roman"/>
          <w:kern w:val="0"/>
          <w:sz w:val="24"/>
          <w:szCs w:val="24"/>
          <w:lang w:val="uk-UA" w:eastAsia="ru-RU"/>
          <w14:ligatures w14:val="none"/>
        </w:rPr>
      </w:pPr>
      <w:r w:rsidRPr="00972489">
        <w:rPr>
          <w:rFonts w:eastAsia="Times New Roman" w:cs="Times New Roman"/>
          <w:kern w:val="0"/>
          <w:sz w:val="24"/>
          <w:szCs w:val="24"/>
          <w:lang w:val="uk-UA" w:eastAsia="ru-RU"/>
          <w14:ligatures w14:val="none"/>
        </w:rPr>
        <w:t>21. Насосна III підйому (м-н Перемоги, 54)</w:t>
      </w:r>
    </w:p>
    <w:p w14:paraId="1590E633" w14:textId="77777777" w:rsidR="00972489" w:rsidRPr="00972489" w:rsidRDefault="00972489" w:rsidP="00972489">
      <w:pPr>
        <w:widowControl w:val="0"/>
        <w:suppressAutoHyphens/>
        <w:autoSpaceDE w:val="0"/>
        <w:spacing w:after="0"/>
        <w:ind w:left="-425" w:firstLine="709"/>
        <w:contextualSpacing/>
        <w:rPr>
          <w:rFonts w:eastAsia="Times New Roman" w:cs="Times New Roman"/>
          <w:kern w:val="0"/>
          <w:sz w:val="24"/>
          <w:szCs w:val="24"/>
          <w:lang w:val="uk-UA" w:eastAsia="ru-RU"/>
          <w14:ligatures w14:val="none"/>
        </w:rPr>
      </w:pPr>
      <w:r w:rsidRPr="00972489">
        <w:rPr>
          <w:rFonts w:eastAsia="Times New Roman" w:cs="Times New Roman"/>
          <w:b/>
          <w:kern w:val="0"/>
          <w:sz w:val="24"/>
          <w:szCs w:val="24"/>
          <w:lang w:val="uk-UA" w:eastAsia="ru-RU"/>
          <w14:ligatures w14:val="none"/>
        </w:rPr>
        <w:t>Кількість спожитої електричної енергії</w:t>
      </w:r>
      <w:r w:rsidRPr="00972489">
        <w:rPr>
          <w:rFonts w:eastAsia="Times New Roman" w:cs="Times New Roman"/>
          <w:kern w:val="0"/>
          <w:sz w:val="24"/>
          <w:szCs w:val="24"/>
          <w:lang w:val="uk-UA" w:eastAsia="ru-RU"/>
          <w14:ligatures w14:val="none"/>
        </w:rPr>
        <w:t xml:space="preserve"> визначається на підставі знятих показників електролічильників, які встановлені на об’єктах КП «ВТВК» ВМР.</w:t>
      </w:r>
    </w:p>
    <w:p w14:paraId="72DBF164" w14:textId="77777777" w:rsidR="00972489" w:rsidRPr="00972489" w:rsidRDefault="00972489" w:rsidP="00972489">
      <w:pPr>
        <w:widowControl w:val="0"/>
        <w:suppressAutoHyphens/>
        <w:autoSpaceDE w:val="0"/>
        <w:spacing w:after="0"/>
        <w:ind w:left="-425" w:firstLine="709"/>
        <w:contextualSpacing/>
        <w:rPr>
          <w:rFonts w:eastAsia="Times New Roman" w:cs="Times New Roman"/>
          <w:kern w:val="0"/>
          <w:sz w:val="24"/>
          <w:szCs w:val="24"/>
          <w:lang w:val="uk-UA" w:eastAsia="ru-RU"/>
          <w14:ligatures w14:val="none"/>
        </w:rPr>
      </w:pPr>
      <w:r w:rsidRPr="00972489">
        <w:rPr>
          <w:rFonts w:eastAsia="Times New Roman" w:cs="Times New Roman"/>
          <w:kern w:val="0"/>
          <w:sz w:val="24"/>
          <w:szCs w:val="24"/>
          <w:lang w:val="uk-UA" w:eastAsia="ru-RU"/>
          <w14:ligatures w14:val="none"/>
        </w:rPr>
        <w:t>Постачальник забезпечує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AC87260" w14:textId="77777777" w:rsidR="00972489" w:rsidRPr="00972489" w:rsidRDefault="00972489" w:rsidP="00972489">
      <w:pPr>
        <w:widowControl w:val="0"/>
        <w:suppressAutoHyphens/>
        <w:autoSpaceDE w:val="0"/>
        <w:spacing w:after="0"/>
        <w:ind w:left="-425" w:firstLine="709"/>
        <w:contextualSpacing/>
        <w:rPr>
          <w:rFonts w:eastAsia="Times New Roman" w:cs="Times New Roman"/>
          <w:b/>
          <w:kern w:val="0"/>
          <w:sz w:val="24"/>
          <w:szCs w:val="24"/>
          <w:lang w:val="uk-UA" w:eastAsia="ru-RU"/>
          <w14:ligatures w14:val="none"/>
        </w:rPr>
      </w:pPr>
      <w:r w:rsidRPr="00972489">
        <w:rPr>
          <w:rFonts w:eastAsia="Times New Roman" w:cs="Times New Roman"/>
          <w:b/>
          <w:kern w:val="0"/>
          <w:sz w:val="24"/>
          <w:szCs w:val="24"/>
          <w:lang w:val="uk-UA" w:eastAsia="ru-RU"/>
          <w14:ligatures w14:val="none"/>
        </w:rPr>
        <w:t>Технічні та якісні характеристики:</w:t>
      </w:r>
    </w:p>
    <w:p w14:paraId="76D8C030" w14:textId="77777777" w:rsidR="00972489" w:rsidRPr="00972489" w:rsidRDefault="00972489" w:rsidP="00972489">
      <w:pPr>
        <w:widowControl w:val="0"/>
        <w:suppressAutoHyphens/>
        <w:autoSpaceDE w:val="0"/>
        <w:spacing w:after="0"/>
        <w:ind w:left="-425" w:firstLine="709"/>
        <w:contextualSpacing/>
        <w:rPr>
          <w:rFonts w:eastAsia="Times New Roman" w:cs="Times New Roman"/>
          <w:kern w:val="0"/>
          <w:sz w:val="24"/>
          <w:szCs w:val="24"/>
          <w:lang w:val="uk-UA" w:eastAsia="ru-RU"/>
          <w14:ligatures w14:val="none"/>
        </w:rPr>
      </w:pPr>
      <w:r w:rsidRPr="00972489">
        <w:rPr>
          <w:rFonts w:eastAsia="Times New Roman" w:cs="Times New Roman"/>
          <w:kern w:val="0"/>
          <w:sz w:val="24"/>
          <w:szCs w:val="24"/>
          <w:lang w:val="uk-UA" w:eastAsia="ru-RU"/>
          <w14:ligatures w14:val="none"/>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14:paraId="7451E041" w14:textId="04450ECA" w:rsidR="00972489" w:rsidRPr="00972489" w:rsidRDefault="00972489" w:rsidP="00972489">
      <w:pPr>
        <w:widowControl w:val="0"/>
        <w:suppressAutoHyphens/>
        <w:autoSpaceDE w:val="0"/>
        <w:spacing w:after="0"/>
        <w:ind w:left="-425" w:firstLine="709"/>
        <w:contextualSpacing/>
        <w:rPr>
          <w:rFonts w:eastAsia="Times New Roman" w:cs="Times New Roman"/>
          <w:kern w:val="0"/>
          <w:sz w:val="24"/>
          <w:szCs w:val="24"/>
          <w:lang w:val="uk-UA" w:eastAsia="ru-RU"/>
          <w14:ligatures w14:val="none"/>
        </w:rPr>
      </w:pPr>
      <w:r w:rsidRPr="00972489">
        <w:rPr>
          <w:rFonts w:eastAsia="Times New Roman" w:cs="Times New Roman"/>
          <w:kern w:val="0"/>
          <w:sz w:val="24"/>
          <w:szCs w:val="24"/>
          <w:lang w:val="uk-UA" w:eastAsia="ru-RU"/>
          <w14:ligatures w14:val="none"/>
        </w:rPr>
        <w:t xml:space="preserve">Якість електричної енергії, що передається Постачальником Споживачу, має </w:t>
      </w:r>
      <w:r w:rsidRPr="00972489">
        <w:rPr>
          <w:rFonts w:eastAsia="Times New Roman" w:cs="Times New Roman"/>
          <w:kern w:val="0"/>
          <w:sz w:val="24"/>
          <w:szCs w:val="24"/>
          <w:lang w:val="uk-UA" w:eastAsia="ru-RU"/>
          <w14:ligatures w14:val="none"/>
        </w:rPr>
        <w:lastRenderedPageBreak/>
        <w:t>відповідати вимогам, установленим державними стандартами, а саме: ДСТУ EN 50160:2014 «Характеристики напруги електропостачання в електричних мережах загального</w:t>
      </w:r>
      <w:r>
        <w:rPr>
          <w:rFonts w:eastAsia="Times New Roman" w:cs="Times New Roman"/>
          <w:kern w:val="0"/>
          <w:sz w:val="24"/>
          <w:szCs w:val="24"/>
          <w:lang w:val="uk-UA" w:eastAsia="ru-RU"/>
          <w14:ligatures w14:val="none"/>
        </w:rPr>
        <w:t xml:space="preserve"> </w:t>
      </w:r>
      <w:bookmarkStart w:id="0" w:name="_GoBack"/>
      <w:bookmarkEnd w:id="0"/>
      <w:r w:rsidRPr="00972489">
        <w:rPr>
          <w:rFonts w:eastAsia="Times New Roman" w:cs="Times New Roman"/>
          <w:kern w:val="0"/>
          <w:sz w:val="24"/>
          <w:szCs w:val="24"/>
          <w:lang w:val="uk-UA" w:eastAsia="ru-RU"/>
          <w14:ligatures w14:val="none"/>
        </w:rPr>
        <w:t>призначення» та вимогам постанови НКРЄКП від 12.06.2018 року №375 «Про затвердження Порядку забезпечення стандартів якості електропостачання та надання компенсації споживачам за їх недотримання».</w:t>
      </w:r>
    </w:p>
    <w:p w14:paraId="04151055" w14:textId="77777777" w:rsidR="00972489" w:rsidRPr="00972489" w:rsidRDefault="00972489" w:rsidP="00972489">
      <w:pPr>
        <w:widowControl w:val="0"/>
        <w:suppressAutoHyphens/>
        <w:autoSpaceDE w:val="0"/>
        <w:spacing w:after="0"/>
        <w:ind w:left="-426"/>
        <w:contextualSpacing/>
        <w:rPr>
          <w:rFonts w:eastAsia="Times New Roman" w:cs="Times New Roman"/>
          <w:b/>
          <w:kern w:val="0"/>
          <w:sz w:val="24"/>
          <w:szCs w:val="24"/>
          <w:lang w:val="uk-UA" w:eastAsia="ru-RU"/>
          <w14:ligatures w14:val="none"/>
        </w:rPr>
      </w:pPr>
      <w:r w:rsidRPr="00972489">
        <w:rPr>
          <w:rFonts w:eastAsia="Times New Roman" w:cs="Times New Roman"/>
          <w:b/>
          <w:kern w:val="0"/>
          <w:sz w:val="24"/>
          <w:szCs w:val="24"/>
          <w:lang w:val="uk-UA" w:eastAsia="ru-RU"/>
          <w14:ligatures w14:val="none"/>
        </w:rPr>
        <w:t xml:space="preserve">    Режим постачання електричної енергії: </w:t>
      </w:r>
      <w:r w:rsidRPr="00972489">
        <w:rPr>
          <w:rFonts w:eastAsia="Times New Roman" w:cs="Times New Roman"/>
          <w:kern w:val="0"/>
          <w:sz w:val="24"/>
          <w:szCs w:val="24"/>
          <w:lang w:val="uk-UA" w:eastAsia="ru-RU"/>
          <w14:ligatures w14:val="none"/>
        </w:rPr>
        <w:t>безперервно.</w:t>
      </w:r>
    </w:p>
    <w:p w14:paraId="372043F4" w14:textId="77777777" w:rsidR="00972489" w:rsidRPr="00972489" w:rsidRDefault="00972489" w:rsidP="00972489">
      <w:pPr>
        <w:widowControl w:val="0"/>
        <w:suppressAutoHyphens/>
        <w:autoSpaceDE w:val="0"/>
        <w:spacing w:after="0"/>
        <w:ind w:left="-425" w:firstLine="709"/>
        <w:contextualSpacing/>
        <w:rPr>
          <w:rFonts w:eastAsia="Times New Roman" w:cs="Times New Roman"/>
          <w:kern w:val="0"/>
          <w:sz w:val="24"/>
          <w:szCs w:val="24"/>
          <w:lang w:val="uk-UA" w:eastAsia="ru-RU"/>
          <w14:ligatures w14:val="none"/>
        </w:rPr>
      </w:pPr>
      <w:r w:rsidRPr="00972489">
        <w:rPr>
          <w:rFonts w:eastAsia="Times New Roman" w:cs="Times New Roman"/>
          <w:b/>
          <w:kern w:val="0"/>
          <w:sz w:val="24"/>
          <w:szCs w:val="24"/>
          <w:lang w:val="uk-UA" w:eastAsia="ru-RU"/>
          <w14:ligatures w14:val="none"/>
        </w:rPr>
        <w:t xml:space="preserve">Ціна на постачання електричної енергії </w:t>
      </w:r>
      <w:r w:rsidRPr="00972489">
        <w:rPr>
          <w:rFonts w:eastAsia="Times New Roman" w:cs="Times New Roman"/>
          <w:kern w:val="0"/>
          <w:sz w:val="24"/>
          <w:szCs w:val="24"/>
          <w:lang w:val="uk-UA" w:eastAsia="ru-RU"/>
          <w14:ligatures w14:val="none"/>
        </w:rPr>
        <w:t>встановлюється учасником у відповідності до ч. 2 ст. 56 Закону України «Про ринок електричної енергії»</w:t>
      </w:r>
    </w:p>
    <w:p w14:paraId="6BDBAE85" w14:textId="77777777" w:rsidR="00972489" w:rsidRPr="00972489" w:rsidRDefault="00972489" w:rsidP="00972489">
      <w:pPr>
        <w:widowControl w:val="0"/>
        <w:suppressAutoHyphens/>
        <w:autoSpaceDE w:val="0"/>
        <w:spacing w:after="0"/>
        <w:ind w:left="-425" w:firstLine="709"/>
        <w:contextualSpacing/>
        <w:rPr>
          <w:rFonts w:eastAsia="Times New Roman" w:cs="Times New Roman"/>
          <w:kern w:val="0"/>
          <w:sz w:val="24"/>
          <w:szCs w:val="24"/>
          <w:lang w:val="uk-UA" w:eastAsia="ru-RU"/>
          <w14:ligatures w14:val="none"/>
        </w:rPr>
      </w:pPr>
      <w:r w:rsidRPr="00972489">
        <w:rPr>
          <w:rFonts w:eastAsia="Times New Roman" w:cs="Times New Roman"/>
          <w:kern w:val="0"/>
          <w:sz w:val="24"/>
          <w:szCs w:val="24"/>
          <w:lang w:val="uk-UA" w:eastAsia="ru-RU"/>
          <w14:ligatures w14:val="none"/>
        </w:rPr>
        <w:t>Ціна за одиницю Товару (1 кВт год. електричної енергії) ґрунтується на всіх фактичних складових ціни електроенергії та включає до себе: закупівельну ціну / середньо закупівельну ціну електричної енергії на відповідному ринку; тариф встановлений Регулятором для оператора системи передачі за передачу електричної енергії /. А також 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 в тому числі ПДВ (для платників ПДВ).</w:t>
      </w:r>
    </w:p>
    <w:p w14:paraId="65C31E13" w14:textId="77777777" w:rsidR="00972489" w:rsidRPr="00972489" w:rsidRDefault="00972489" w:rsidP="00972489">
      <w:pPr>
        <w:widowControl w:val="0"/>
        <w:suppressAutoHyphens/>
        <w:autoSpaceDE w:val="0"/>
        <w:spacing w:after="0"/>
        <w:ind w:left="-425" w:firstLine="709"/>
        <w:contextualSpacing/>
        <w:rPr>
          <w:rFonts w:eastAsia="Times New Roman" w:cs="Times New Roman"/>
          <w:b/>
          <w:i/>
          <w:kern w:val="0"/>
          <w:sz w:val="24"/>
          <w:szCs w:val="24"/>
          <w:lang w:val="uk-UA" w:eastAsia="ru-RU"/>
          <w14:ligatures w14:val="none"/>
        </w:rPr>
      </w:pPr>
      <w:r w:rsidRPr="00972489">
        <w:rPr>
          <w:rFonts w:eastAsia="Times New Roman" w:cs="Times New Roman"/>
          <w:b/>
          <w:i/>
          <w:kern w:val="0"/>
          <w:sz w:val="24"/>
          <w:szCs w:val="24"/>
          <w:lang w:val="uk-UA" w:eastAsia="ru-RU"/>
          <w14:ligatures w14:val="none"/>
        </w:rPr>
        <w:t>Учасник торгів повинен надати завірену копію ліцензії на право провадження господарської діяльності з постачання електричної енергії та/або надати копію Постанови НКРЕКП, згідно якої визначене рішення про видачу відповідної ліцензії про постачання електричної енергії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14:paraId="09659F30" w14:textId="77777777" w:rsidR="00972489" w:rsidRPr="00972489" w:rsidRDefault="00972489" w:rsidP="00972489">
      <w:pPr>
        <w:widowControl w:val="0"/>
        <w:suppressAutoHyphens/>
        <w:autoSpaceDE w:val="0"/>
        <w:spacing w:after="0"/>
        <w:ind w:left="-425" w:firstLine="709"/>
        <w:contextualSpacing/>
        <w:rPr>
          <w:rFonts w:eastAsia="Times New Roman" w:cs="Times New Roman"/>
          <w:kern w:val="0"/>
          <w:sz w:val="24"/>
          <w:szCs w:val="24"/>
          <w:lang w:val="uk-UA" w:eastAsia="ru-RU"/>
          <w14:ligatures w14:val="none"/>
        </w:rPr>
      </w:pPr>
      <w:r w:rsidRPr="00972489">
        <w:rPr>
          <w:rFonts w:eastAsia="Times New Roman" w:cs="Times New Roman"/>
          <w:kern w:val="0"/>
          <w:sz w:val="24"/>
          <w:szCs w:val="24"/>
          <w:lang w:val="uk-UA" w:eastAsia="ru-RU"/>
          <w14:ligatures w14:val="none"/>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14:paraId="1A98B793" w14:textId="77777777" w:rsidR="00972489" w:rsidRPr="00972489" w:rsidRDefault="00972489" w:rsidP="00972489">
      <w:pPr>
        <w:widowControl w:val="0"/>
        <w:suppressAutoHyphens/>
        <w:autoSpaceDE w:val="0"/>
        <w:spacing w:after="0"/>
        <w:ind w:left="-425" w:firstLine="709"/>
        <w:contextualSpacing/>
        <w:rPr>
          <w:rFonts w:eastAsia="Times New Roman" w:cs="Times New Roman"/>
          <w:b/>
          <w:i/>
          <w:kern w:val="0"/>
          <w:sz w:val="24"/>
          <w:szCs w:val="24"/>
          <w:lang w:val="uk-UA" w:eastAsia="ru-RU"/>
          <w14:ligatures w14:val="none"/>
        </w:rPr>
      </w:pPr>
      <w:r w:rsidRPr="00972489">
        <w:rPr>
          <w:rFonts w:eastAsia="Times New Roman" w:cs="Times New Roman"/>
          <w:kern w:val="0"/>
          <w:sz w:val="24"/>
          <w:szCs w:val="24"/>
          <w:lang w:val="uk-UA" w:eastAsia="ru-RU"/>
          <w14:ligatures w14:val="none"/>
        </w:rPr>
        <w:t xml:space="preserve"> </w:t>
      </w:r>
      <w:r w:rsidRPr="00972489">
        <w:rPr>
          <w:rFonts w:eastAsia="Times New Roman" w:cs="Times New Roman"/>
          <w:b/>
          <w:i/>
          <w:kern w:val="0"/>
          <w:sz w:val="24"/>
          <w:szCs w:val="24"/>
          <w:lang w:val="uk-UA" w:eastAsia="ru-RU"/>
          <w14:ligatures w14:val="none"/>
        </w:rPr>
        <w:t>Якщо пропозиція Учасника не відповідає Технічним вимогам, то вона буде відхилена, як така, що не відповідає вимогам тендерної документації.</w:t>
      </w:r>
    </w:p>
    <w:p w14:paraId="596943D7" w14:textId="77777777" w:rsidR="00233834" w:rsidRPr="00233834" w:rsidRDefault="00233834" w:rsidP="00233834">
      <w:pPr>
        <w:spacing w:after="0"/>
        <w:jc w:val="both"/>
        <w:rPr>
          <w:rFonts w:cs="Times New Roman"/>
          <w:sz w:val="24"/>
          <w:szCs w:val="24"/>
          <w:lang w:val="uk-UA"/>
        </w:rPr>
      </w:pPr>
    </w:p>
    <w:p w14:paraId="54AD85ED" w14:textId="28574025" w:rsidR="00233834" w:rsidRPr="00233834" w:rsidRDefault="00233834" w:rsidP="00233834">
      <w:pPr>
        <w:spacing w:after="0"/>
        <w:jc w:val="both"/>
        <w:rPr>
          <w:rFonts w:cs="Times New Roman"/>
          <w:b/>
          <w:bCs/>
          <w:i/>
          <w:iCs/>
          <w:sz w:val="24"/>
          <w:szCs w:val="24"/>
          <w:lang w:val="uk-UA"/>
        </w:rPr>
      </w:pPr>
      <w:r w:rsidRPr="00233834">
        <w:rPr>
          <w:rFonts w:cs="Times New Roman"/>
          <w:sz w:val="24"/>
          <w:szCs w:val="24"/>
          <w:lang w:val="uk-UA"/>
        </w:rPr>
        <w:t xml:space="preserve">         </w:t>
      </w:r>
    </w:p>
    <w:sectPr w:rsidR="00233834" w:rsidRPr="00233834" w:rsidSect="00DD0DEF">
      <w:pgSz w:w="11906" w:h="16838" w:code="9"/>
      <w:pgMar w:top="568"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C7C1F"/>
    <w:multiLevelType w:val="hybridMultilevel"/>
    <w:tmpl w:val="724C6714"/>
    <w:lvl w:ilvl="0" w:tplc="3580F0C6">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6100AE3"/>
    <w:multiLevelType w:val="hybridMultilevel"/>
    <w:tmpl w:val="BB6EEC2E"/>
    <w:lvl w:ilvl="0" w:tplc="AA9A5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2B"/>
    <w:rsid w:val="000979B0"/>
    <w:rsid w:val="000E1998"/>
    <w:rsid w:val="000E2A76"/>
    <w:rsid w:val="001421F0"/>
    <w:rsid w:val="00233834"/>
    <w:rsid w:val="004B051F"/>
    <w:rsid w:val="0068192C"/>
    <w:rsid w:val="006C0B77"/>
    <w:rsid w:val="007C5A85"/>
    <w:rsid w:val="0081482B"/>
    <w:rsid w:val="008242FF"/>
    <w:rsid w:val="00870751"/>
    <w:rsid w:val="00922C48"/>
    <w:rsid w:val="00972489"/>
    <w:rsid w:val="00B23BC3"/>
    <w:rsid w:val="00B915B7"/>
    <w:rsid w:val="00CC0D87"/>
    <w:rsid w:val="00DD0DEF"/>
    <w:rsid w:val="00EA59DF"/>
    <w:rsid w:val="00EE4070"/>
    <w:rsid w:val="00F12C76"/>
    <w:rsid w:val="00F62530"/>
    <w:rsid w:val="00F637B2"/>
    <w:rsid w:val="00FC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7827"/>
  <w15:chartTrackingRefBased/>
  <w15:docId w15:val="{487EFCD2-8DE3-4038-819C-41B168E9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1482B"/>
    <w:rPr>
      <w:sz w:val="16"/>
      <w:szCs w:val="16"/>
    </w:rPr>
  </w:style>
  <w:style w:type="paragraph" w:styleId="a4">
    <w:name w:val="annotation text"/>
    <w:basedOn w:val="a"/>
    <w:link w:val="a5"/>
    <w:uiPriority w:val="99"/>
    <w:semiHidden/>
    <w:unhideWhenUsed/>
    <w:rsid w:val="0081482B"/>
    <w:rPr>
      <w:sz w:val="20"/>
      <w:szCs w:val="20"/>
    </w:rPr>
  </w:style>
  <w:style w:type="character" w:customStyle="1" w:styleId="a5">
    <w:name w:val="Текст примечания Знак"/>
    <w:basedOn w:val="a0"/>
    <w:link w:val="a4"/>
    <w:uiPriority w:val="99"/>
    <w:semiHidden/>
    <w:rsid w:val="0081482B"/>
    <w:rPr>
      <w:rFonts w:ascii="Times New Roman" w:hAnsi="Times New Roman"/>
      <w:sz w:val="20"/>
      <w:szCs w:val="20"/>
    </w:rPr>
  </w:style>
  <w:style w:type="paragraph" w:styleId="a6">
    <w:name w:val="annotation subject"/>
    <w:basedOn w:val="a4"/>
    <w:next w:val="a4"/>
    <w:link w:val="a7"/>
    <w:uiPriority w:val="99"/>
    <w:semiHidden/>
    <w:unhideWhenUsed/>
    <w:rsid w:val="0081482B"/>
    <w:rPr>
      <w:b/>
      <w:bCs/>
    </w:rPr>
  </w:style>
  <w:style w:type="character" w:customStyle="1" w:styleId="a7">
    <w:name w:val="Тема примечания Знак"/>
    <w:basedOn w:val="a5"/>
    <w:link w:val="a6"/>
    <w:uiPriority w:val="99"/>
    <w:semiHidden/>
    <w:rsid w:val="0081482B"/>
    <w:rPr>
      <w:rFonts w:ascii="Times New Roman" w:hAnsi="Times New Roman"/>
      <w:b/>
      <w:bCs/>
      <w:sz w:val="20"/>
      <w:szCs w:val="20"/>
    </w:rPr>
  </w:style>
  <w:style w:type="paragraph" w:styleId="a8">
    <w:name w:val="List Paragraph"/>
    <w:basedOn w:val="a"/>
    <w:uiPriority w:val="34"/>
    <w:qFormat/>
    <w:rsid w:val="0081482B"/>
    <w:pPr>
      <w:ind w:left="720"/>
      <w:contextualSpacing/>
    </w:pPr>
  </w:style>
  <w:style w:type="table" w:styleId="a9">
    <w:name w:val="Table Grid"/>
    <w:basedOn w:val="a1"/>
    <w:uiPriority w:val="39"/>
    <w:rsid w:val="00681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39"/>
    <w:rsid w:val="00972489"/>
    <w:pPr>
      <w:spacing w:after="0" w:line="240" w:lineRule="auto"/>
    </w:pPr>
    <w:rPr>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78221">
      <w:bodyDiv w:val="1"/>
      <w:marLeft w:val="0"/>
      <w:marRight w:val="0"/>
      <w:marTop w:val="0"/>
      <w:marBottom w:val="0"/>
      <w:divBdr>
        <w:top w:val="none" w:sz="0" w:space="0" w:color="auto"/>
        <w:left w:val="none" w:sz="0" w:space="0" w:color="auto"/>
        <w:bottom w:val="none" w:sz="0" w:space="0" w:color="auto"/>
        <w:right w:val="none" w:sz="0" w:space="0" w:color="auto"/>
      </w:divBdr>
      <w:divsChild>
        <w:div w:id="42601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704</Words>
  <Characters>4017</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2023-06-14T08:00:00Z</dcterms:created>
  <dcterms:modified xsi:type="dcterms:W3CDTF">2023-11-14T09:22:00Z</dcterms:modified>
</cp:coreProperties>
</file>