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77777777" w:rsidR="00934061" w:rsidRPr="00C16550"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60496154"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r w:rsidR="005912BD" w:rsidRPr="005912BD">
        <w:rPr>
          <w:b/>
          <w:bCs/>
          <w:sz w:val="24"/>
          <w:szCs w:val="24"/>
          <w:lang w:eastAsia="ru-RU"/>
        </w:rPr>
        <w:t>Крупи (вівсяна, гречана, перлова, пшона, ячна, пшенична, кукурудзяна), рис та борошно; 15610000-7 - Продукція борошномельно-круп'яної промисловості за ДК 021:2015 Єдиного закупівельного словника</w:t>
      </w:r>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678"/>
        <w:gridCol w:w="1134"/>
        <w:gridCol w:w="992"/>
        <w:gridCol w:w="1417"/>
      </w:tblGrid>
      <w:tr w:rsidR="00B97688" w:rsidRPr="00E83BBB" w14:paraId="78CC4571" w14:textId="77777777" w:rsidTr="00217CB4">
        <w:tc>
          <w:tcPr>
            <w:tcW w:w="1702" w:type="dxa"/>
            <w:vAlign w:val="center"/>
          </w:tcPr>
          <w:p w14:paraId="3CA6805A" w14:textId="23BC2D03"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 xml:space="preserve">Найменування </w:t>
            </w:r>
            <w:r w:rsidR="009749DC" w:rsidRPr="00E83BBB">
              <w:rPr>
                <w:b/>
                <w:sz w:val="20"/>
                <w:szCs w:val="20"/>
                <w:lang w:eastAsia="ru-RU"/>
              </w:rPr>
              <w:t>предмета закупівлі (товару)</w:t>
            </w:r>
          </w:p>
        </w:tc>
        <w:tc>
          <w:tcPr>
            <w:tcW w:w="4678" w:type="dxa"/>
            <w:vAlign w:val="center"/>
          </w:tcPr>
          <w:p w14:paraId="5A96D389"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Технічні</w:t>
            </w:r>
          </w:p>
          <w:p w14:paraId="673E1C9D"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вимоги</w:t>
            </w:r>
          </w:p>
        </w:tc>
        <w:tc>
          <w:tcPr>
            <w:tcW w:w="1134" w:type="dxa"/>
            <w:vAlign w:val="center"/>
          </w:tcPr>
          <w:p w14:paraId="54DC97D0"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Одиниця виміру</w:t>
            </w:r>
          </w:p>
        </w:tc>
        <w:tc>
          <w:tcPr>
            <w:tcW w:w="992" w:type="dxa"/>
            <w:vAlign w:val="center"/>
          </w:tcPr>
          <w:p w14:paraId="2DB8EC2B" w14:textId="7D985860" w:rsidR="00B97688" w:rsidRPr="00E83BBB" w:rsidRDefault="0042710B" w:rsidP="0042710B">
            <w:pPr>
              <w:tabs>
                <w:tab w:val="num" w:pos="34"/>
              </w:tabs>
              <w:spacing w:after="0" w:line="240" w:lineRule="auto"/>
              <w:contextualSpacing/>
              <w:jc w:val="center"/>
              <w:rPr>
                <w:b/>
                <w:sz w:val="20"/>
                <w:szCs w:val="20"/>
                <w:lang w:eastAsia="ru-RU"/>
              </w:rPr>
            </w:pPr>
            <w:r w:rsidRPr="00E83BBB">
              <w:rPr>
                <w:b/>
                <w:sz w:val="20"/>
                <w:szCs w:val="20"/>
                <w:lang w:eastAsia="ru-RU"/>
              </w:rPr>
              <w:t>Планов</w:t>
            </w:r>
            <w:r w:rsidR="00703EB1" w:rsidRPr="00E83BBB">
              <w:rPr>
                <w:b/>
                <w:sz w:val="20"/>
                <w:szCs w:val="20"/>
                <w:lang w:eastAsia="ru-RU"/>
              </w:rPr>
              <w:t>і</w:t>
            </w:r>
            <w:r w:rsidRPr="00E83BBB">
              <w:rPr>
                <w:b/>
                <w:sz w:val="20"/>
                <w:szCs w:val="20"/>
                <w:lang w:eastAsia="ru-RU"/>
              </w:rPr>
              <w:t xml:space="preserve"> </w:t>
            </w:r>
            <w:r w:rsidR="00703EB1" w:rsidRPr="00E83BBB">
              <w:rPr>
                <w:b/>
                <w:sz w:val="20"/>
                <w:szCs w:val="20"/>
                <w:lang w:eastAsia="ru-RU"/>
              </w:rPr>
              <w:t>обсяги</w:t>
            </w:r>
            <w:r w:rsidR="00B97688" w:rsidRPr="00E83BBB">
              <w:rPr>
                <w:b/>
                <w:sz w:val="20"/>
                <w:szCs w:val="20"/>
                <w:lang w:eastAsia="ru-RU"/>
              </w:rPr>
              <w:t xml:space="preserve">          </w:t>
            </w:r>
          </w:p>
        </w:tc>
        <w:tc>
          <w:tcPr>
            <w:tcW w:w="1417" w:type="dxa"/>
            <w:vAlign w:val="center"/>
          </w:tcPr>
          <w:p w14:paraId="2A48ECCA"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 xml:space="preserve">Строки </w:t>
            </w:r>
          </w:p>
          <w:p w14:paraId="4AB0B994"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поставки</w:t>
            </w:r>
          </w:p>
        </w:tc>
      </w:tr>
      <w:tr w:rsidR="005912BD" w:rsidRPr="00E83BBB" w14:paraId="7D23CCB7" w14:textId="77777777" w:rsidTr="00E13D18">
        <w:trPr>
          <w:trHeight w:val="243"/>
        </w:trPr>
        <w:tc>
          <w:tcPr>
            <w:tcW w:w="1702" w:type="dxa"/>
            <w:tcBorders>
              <w:top w:val="single" w:sz="6" w:space="0" w:color="auto"/>
              <w:left w:val="single" w:sz="4" w:space="0" w:color="auto"/>
              <w:bottom w:val="single" w:sz="4" w:space="0" w:color="auto"/>
              <w:right w:val="single" w:sz="6" w:space="0" w:color="auto"/>
            </w:tcBorders>
            <w:vAlign w:val="center"/>
          </w:tcPr>
          <w:p w14:paraId="1669656F" w14:textId="24978CD0" w:rsidR="005912BD" w:rsidRPr="00427B5F" w:rsidRDefault="005912BD" w:rsidP="005912BD">
            <w:pPr>
              <w:spacing w:after="0" w:line="240" w:lineRule="auto"/>
              <w:jc w:val="center"/>
              <w:rPr>
                <w:bCs/>
                <w:sz w:val="20"/>
                <w:szCs w:val="20"/>
                <w:lang w:eastAsia="uk-UA"/>
              </w:rPr>
            </w:pPr>
            <w:bookmarkStart w:id="0" w:name="_Hlk150346154"/>
            <w:r w:rsidRPr="00427B5F">
              <w:rPr>
                <w:sz w:val="22"/>
              </w:rPr>
              <w:t>Вівсяні пластівці</w:t>
            </w:r>
          </w:p>
        </w:tc>
        <w:tc>
          <w:tcPr>
            <w:tcW w:w="4678" w:type="dxa"/>
            <w:vAlign w:val="center"/>
          </w:tcPr>
          <w:p w14:paraId="64650347" w14:textId="59186ECB" w:rsidR="005912BD" w:rsidRPr="00427B5F" w:rsidRDefault="007F376B" w:rsidP="007F376B">
            <w:pPr>
              <w:spacing w:after="0" w:line="240" w:lineRule="auto"/>
              <w:contextualSpacing/>
              <w:jc w:val="both"/>
              <w:rPr>
                <w:color w:val="000000"/>
                <w:sz w:val="20"/>
                <w:szCs w:val="20"/>
                <w:highlight w:val="yellow"/>
                <w:lang w:eastAsia="ru-RU"/>
              </w:rPr>
            </w:pPr>
            <w:r w:rsidRPr="00427B5F">
              <w:rPr>
                <w:color w:val="000000"/>
                <w:sz w:val="20"/>
                <w:szCs w:val="20"/>
                <w:lang w:eastAsia="ru-RU"/>
              </w:rPr>
              <w:t xml:space="preserve">Крупа повинна мати білий з відтінками від кремового до жовтуватого кольору.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w:t>
            </w:r>
            <w:r w:rsidR="00427B5F" w:rsidRPr="00427B5F">
              <w:rPr>
                <w:color w:val="000000"/>
                <w:sz w:val="20"/>
                <w:szCs w:val="20"/>
                <w:lang w:eastAsia="ru-RU"/>
              </w:rPr>
              <w:t>Без ГМО. Має відповідати державному стандарту України. Фасування у поліпропіленові пакети, вагою до 1 кг.</w:t>
            </w:r>
          </w:p>
        </w:tc>
        <w:tc>
          <w:tcPr>
            <w:tcW w:w="1134" w:type="dxa"/>
            <w:vAlign w:val="center"/>
          </w:tcPr>
          <w:p w14:paraId="123B9E3A" w14:textId="2722EF5D" w:rsidR="005912BD" w:rsidRPr="00E83BBB" w:rsidRDefault="005912BD" w:rsidP="005912B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5D786799" w:rsidR="005912BD" w:rsidRPr="00E83BBB" w:rsidRDefault="005912BD" w:rsidP="005912BD">
            <w:pPr>
              <w:spacing w:after="0" w:line="240" w:lineRule="auto"/>
              <w:jc w:val="center"/>
              <w:rPr>
                <w:sz w:val="20"/>
                <w:szCs w:val="20"/>
                <w:lang w:eastAsia="ru-RU"/>
              </w:rPr>
            </w:pPr>
            <w:r w:rsidRPr="00663F39">
              <w:rPr>
                <w:sz w:val="22"/>
                <w:lang w:eastAsia="uk-UA"/>
              </w:rPr>
              <w:t>1000</w:t>
            </w:r>
          </w:p>
        </w:tc>
        <w:tc>
          <w:tcPr>
            <w:tcW w:w="1417" w:type="dxa"/>
            <w:vAlign w:val="center"/>
          </w:tcPr>
          <w:p w14:paraId="556ACC13" w14:textId="67414791" w:rsidR="005912BD" w:rsidRPr="00E83BBB" w:rsidRDefault="005912BD" w:rsidP="005912B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5912BD" w:rsidRPr="00E83BBB" w14:paraId="251D557B" w14:textId="77777777" w:rsidTr="00E13D18">
        <w:trPr>
          <w:trHeight w:val="243"/>
        </w:trPr>
        <w:tc>
          <w:tcPr>
            <w:tcW w:w="1702" w:type="dxa"/>
            <w:tcBorders>
              <w:top w:val="single" w:sz="4" w:space="0" w:color="auto"/>
              <w:left w:val="single" w:sz="4" w:space="0" w:color="auto"/>
              <w:bottom w:val="single" w:sz="4" w:space="0" w:color="auto"/>
              <w:right w:val="single" w:sz="6" w:space="0" w:color="auto"/>
            </w:tcBorders>
            <w:vAlign w:val="center"/>
          </w:tcPr>
          <w:p w14:paraId="4F9108B8" w14:textId="12429456" w:rsidR="005912BD" w:rsidRPr="00427B5F" w:rsidRDefault="005912BD" w:rsidP="005912BD">
            <w:pPr>
              <w:spacing w:after="0" w:line="240" w:lineRule="auto"/>
              <w:jc w:val="center"/>
              <w:rPr>
                <w:bCs/>
                <w:sz w:val="20"/>
                <w:szCs w:val="20"/>
                <w:lang w:eastAsia="uk-UA"/>
              </w:rPr>
            </w:pPr>
            <w:r w:rsidRPr="00427B5F">
              <w:rPr>
                <w:sz w:val="22"/>
              </w:rPr>
              <w:t>Крупа гречана</w:t>
            </w:r>
          </w:p>
        </w:tc>
        <w:tc>
          <w:tcPr>
            <w:tcW w:w="4678" w:type="dxa"/>
            <w:vAlign w:val="center"/>
          </w:tcPr>
          <w:p w14:paraId="0A0860AD" w14:textId="130FB342" w:rsidR="005912BD" w:rsidRPr="00427B5F" w:rsidRDefault="007F376B" w:rsidP="005912BD">
            <w:pPr>
              <w:spacing w:after="0" w:line="240" w:lineRule="auto"/>
              <w:contextualSpacing/>
              <w:jc w:val="both"/>
              <w:rPr>
                <w:sz w:val="20"/>
                <w:szCs w:val="20"/>
                <w:highlight w:val="yellow"/>
              </w:rPr>
            </w:pPr>
            <w:r w:rsidRPr="00427B5F">
              <w:rPr>
                <w:sz w:val="20"/>
                <w:szCs w:val="20"/>
              </w:rPr>
              <w:t xml:space="preserve">Крупа повинна мати світло коричневий колір.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w:t>
            </w:r>
            <w:r w:rsidR="00427B5F" w:rsidRPr="00427B5F">
              <w:rPr>
                <w:sz w:val="20"/>
                <w:szCs w:val="20"/>
              </w:rPr>
              <w:t>Без ГМО. Має відповідати державному стандарту України. Фасування у поліпропіленові пакети, вагою до 1 кг.</w:t>
            </w:r>
          </w:p>
        </w:tc>
        <w:tc>
          <w:tcPr>
            <w:tcW w:w="1134" w:type="dxa"/>
            <w:vAlign w:val="center"/>
          </w:tcPr>
          <w:p w14:paraId="7E717A8D" w14:textId="7F1A3808" w:rsidR="005912BD" w:rsidRPr="00E83BBB" w:rsidRDefault="005912BD" w:rsidP="005912B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62776BC8" w14:textId="69313446" w:rsidR="005912BD" w:rsidRPr="00E83BBB" w:rsidRDefault="005912BD" w:rsidP="005912BD">
            <w:pPr>
              <w:spacing w:after="0" w:line="240" w:lineRule="auto"/>
              <w:jc w:val="center"/>
              <w:rPr>
                <w:sz w:val="20"/>
                <w:szCs w:val="20"/>
                <w:lang w:eastAsia="ru-RU"/>
              </w:rPr>
            </w:pPr>
            <w:r w:rsidRPr="00663F39">
              <w:rPr>
                <w:sz w:val="22"/>
                <w:lang w:eastAsia="uk-UA"/>
              </w:rPr>
              <w:t>1000</w:t>
            </w:r>
          </w:p>
        </w:tc>
        <w:tc>
          <w:tcPr>
            <w:tcW w:w="1417" w:type="dxa"/>
            <w:vAlign w:val="center"/>
          </w:tcPr>
          <w:p w14:paraId="1A6EBB8A" w14:textId="528FB4B1" w:rsidR="005912BD" w:rsidRPr="00E83BBB" w:rsidRDefault="005912BD" w:rsidP="005912B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5912BD" w:rsidRPr="00E83BBB" w14:paraId="3805738E" w14:textId="77777777" w:rsidTr="00E13D18">
        <w:trPr>
          <w:trHeight w:val="243"/>
        </w:trPr>
        <w:tc>
          <w:tcPr>
            <w:tcW w:w="1702" w:type="dxa"/>
            <w:tcBorders>
              <w:top w:val="single" w:sz="4" w:space="0" w:color="auto"/>
              <w:left w:val="single" w:sz="4" w:space="0" w:color="auto"/>
              <w:bottom w:val="single" w:sz="4" w:space="0" w:color="auto"/>
              <w:right w:val="single" w:sz="6" w:space="0" w:color="auto"/>
            </w:tcBorders>
            <w:vAlign w:val="center"/>
          </w:tcPr>
          <w:p w14:paraId="2CDF8046" w14:textId="2BEE37BD" w:rsidR="005912BD" w:rsidRPr="00427B5F" w:rsidRDefault="005912BD" w:rsidP="005912BD">
            <w:pPr>
              <w:pStyle w:val="p10"/>
              <w:spacing w:before="0" w:beforeAutospacing="0" w:after="0" w:afterAutospacing="0"/>
              <w:contextualSpacing/>
              <w:jc w:val="center"/>
              <w:rPr>
                <w:rFonts w:eastAsia="Arial"/>
                <w:bCs/>
                <w:color w:val="000000"/>
                <w:sz w:val="20"/>
                <w:szCs w:val="20"/>
                <w:lang w:val="uk-UA"/>
              </w:rPr>
            </w:pPr>
            <w:r w:rsidRPr="00427B5F">
              <w:rPr>
                <w:sz w:val="22"/>
                <w:szCs w:val="22"/>
                <w:lang w:val="uk-UA"/>
              </w:rPr>
              <w:t>Крупа перлова</w:t>
            </w:r>
          </w:p>
        </w:tc>
        <w:tc>
          <w:tcPr>
            <w:tcW w:w="4678" w:type="dxa"/>
            <w:vAlign w:val="center"/>
          </w:tcPr>
          <w:p w14:paraId="1548D6F9" w14:textId="0C33DCF2" w:rsidR="005912BD" w:rsidRPr="00427B5F" w:rsidRDefault="005912BD" w:rsidP="005912BD">
            <w:pPr>
              <w:spacing w:after="0" w:line="240" w:lineRule="auto"/>
              <w:contextualSpacing/>
              <w:jc w:val="both"/>
              <w:rPr>
                <w:sz w:val="20"/>
                <w:szCs w:val="20"/>
                <w:highlight w:val="yellow"/>
              </w:rPr>
            </w:pPr>
            <w:r w:rsidRPr="00427B5F">
              <w:rPr>
                <w:sz w:val="20"/>
                <w:szCs w:val="20"/>
              </w:rPr>
              <w:t xml:space="preserve">Крупа повинна мати білий з жовтуватим відтінком колір.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w:t>
            </w:r>
            <w:r w:rsidR="00427B5F" w:rsidRPr="00427B5F">
              <w:rPr>
                <w:sz w:val="20"/>
                <w:szCs w:val="20"/>
              </w:rPr>
              <w:t>Без ГМО. Має відповідати державному стандарту України. Фасування у поліпропіленові пакети, вагою до 1 кг.</w:t>
            </w:r>
          </w:p>
        </w:tc>
        <w:tc>
          <w:tcPr>
            <w:tcW w:w="1134" w:type="dxa"/>
            <w:vAlign w:val="center"/>
          </w:tcPr>
          <w:p w14:paraId="266BC442" w14:textId="2386A79B" w:rsidR="005912BD" w:rsidRPr="00E83BBB" w:rsidRDefault="005912BD" w:rsidP="005912B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0F54DB7E" w14:textId="219B4B11" w:rsidR="005912BD" w:rsidRPr="00E83BBB" w:rsidRDefault="005912BD" w:rsidP="005912BD">
            <w:pPr>
              <w:spacing w:after="0" w:line="240" w:lineRule="auto"/>
              <w:jc w:val="center"/>
              <w:rPr>
                <w:sz w:val="20"/>
                <w:szCs w:val="20"/>
                <w:lang w:eastAsia="ru-RU"/>
              </w:rPr>
            </w:pPr>
            <w:r w:rsidRPr="00663F39">
              <w:rPr>
                <w:sz w:val="22"/>
                <w:lang w:eastAsia="uk-UA"/>
              </w:rPr>
              <w:t>700</w:t>
            </w:r>
          </w:p>
        </w:tc>
        <w:tc>
          <w:tcPr>
            <w:tcW w:w="1417" w:type="dxa"/>
            <w:vAlign w:val="center"/>
          </w:tcPr>
          <w:p w14:paraId="45751723" w14:textId="37E7F4F6" w:rsidR="005912BD" w:rsidRPr="00E83BBB" w:rsidRDefault="005912BD" w:rsidP="005912B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5912BD" w:rsidRPr="00E83BBB" w14:paraId="6A5B312D" w14:textId="77777777" w:rsidTr="00E13D18">
        <w:trPr>
          <w:trHeight w:val="243"/>
        </w:trPr>
        <w:tc>
          <w:tcPr>
            <w:tcW w:w="1702" w:type="dxa"/>
            <w:tcBorders>
              <w:top w:val="single" w:sz="4" w:space="0" w:color="auto"/>
              <w:left w:val="single" w:sz="4" w:space="0" w:color="auto"/>
              <w:bottom w:val="single" w:sz="4" w:space="0" w:color="auto"/>
              <w:right w:val="single" w:sz="6" w:space="0" w:color="auto"/>
            </w:tcBorders>
            <w:vAlign w:val="center"/>
          </w:tcPr>
          <w:p w14:paraId="3B9151D4" w14:textId="77EE5173" w:rsidR="005912BD" w:rsidRPr="00427B5F" w:rsidRDefault="005912BD" w:rsidP="005912BD">
            <w:pPr>
              <w:pStyle w:val="p10"/>
              <w:spacing w:before="0" w:beforeAutospacing="0" w:after="0" w:afterAutospacing="0"/>
              <w:contextualSpacing/>
              <w:jc w:val="center"/>
              <w:rPr>
                <w:bCs/>
                <w:sz w:val="20"/>
                <w:szCs w:val="20"/>
                <w:lang w:val="uk-UA" w:eastAsia="uk-UA"/>
              </w:rPr>
            </w:pPr>
            <w:r w:rsidRPr="00427B5F">
              <w:rPr>
                <w:sz w:val="22"/>
                <w:szCs w:val="22"/>
                <w:lang w:val="uk-UA"/>
              </w:rPr>
              <w:t>Крупа пшона</w:t>
            </w:r>
          </w:p>
        </w:tc>
        <w:tc>
          <w:tcPr>
            <w:tcW w:w="4678" w:type="dxa"/>
            <w:vAlign w:val="center"/>
          </w:tcPr>
          <w:p w14:paraId="50FCFE97" w14:textId="28D2F578" w:rsidR="005912BD" w:rsidRPr="00427B5F" w:rsidRDefault="007F376B" w:rsidP="005912BD">
            <w:pPr>
              <w:spacing w:after="0" w:line="240" w:lineRule="auto"/>
              <w:contextualSpacing/>
              <w:jc w:val="both"/>
              <w:rPr>
                <w:sz w:val="20"/>
                <w:szCs w:val="20"/>
                <w:highlight w:val="yellow"/>
              </w:rPr>
            </w:pPr>
            <w:r w:rsidRPr="00427B5F">
              <w:rPr>
                <w:sz w:val="20"/>
                <w:szCs w:val="20"/>
              </w:rPr>
              <w:t xml:space="preserve">Крупа повинна мати жовтий колір.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w:t>
            </w:r>
            <w:r w:rsidR="00427B5F" w:rsidRPr="00427B5F">
              <w:rPr>
                <w:sz w:val="20"/>
                <w:szCs w:val="20"/>
              </w:rPr>
              <w:t>Без ГМО. Має відповідати державному стандарту України. Фасування у поліпропіленові пакети, вагою до 1 кг.</w:t>
            </w:r>
          </w:p>
        </w:tc>
        <w:tc>
          <w:tcPr>
            <w:tcW w:w="1134" w:type="dxa"/>
            <w:vAlign w:val="center"/>
          </w:tcPr>
          <w:p w14:paraId="14BFD920" w14:textId="609C89E7" w:rsidR="005912BD" w:rsidRPr="00E83BBB" w:rsidRDefault="005912BD" w:rsidP="005912B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1EF9542E" w14:textId="33FCFFD2" w:rsidR="005912BD" w:rsidRDefault="005912BD" w:rsidP="005912BD">
            <w:pPr>
              <w:spacing w:after="0" w:line="240" w:lineRule="auto"/>
              <w:jc w:val="center"/>
              <w:rPr>
                <w:sz w:val="20"/>
                <w:szCs w:val="20"/>
                <w:lang w:eastAsia="ru-RU"/>
              </w:rPr>
            </w:pPr>
            <w:r w:rsidRPr="00663F39">
              <w:rPr>
                <w:sz w:val="22"/>
                <w:lang w:eastAsia="uk-UA"/>
              </w:rPr>
              <w:t>850</w:t>
            </w:r>
          </w:p>
        </w:tc>
        <w:tc>
          <w:tcPr>
            <w:tcW w:w="1417" w:type="dxa"/>
            <w:vAlign w:val="center"/>
          </w:tcPr>
          <w:p w14:paraId="5E1F1AFC" w14:textId="2C9713B3" w:rsidR="005912BD" w:rsidRPr="00E83BBB" w:rsidRDefault="005912BD" w:rsidP="005912B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5912BD" w:rsidRPr="00E83BBB" w14:paraId="43357E93" w14:textId="77777777" w:rsidTr="00E13D18">
        <w:trPr>
          <w:trHeight w:val="243"/>
        </w:trPr>
        <w:tc>
          <w:tcPr>
            <w:tcW w:w="1702" w:type="dxa"/>
            <w:tcBorders>
              <w:top w:val="single" w:sz="4" w:space="0" w:color="auto"/>
              <w:left w:val="single" w:sz="4" w:space="0" w:color="auto"/>
              <w:bottom w:val="single" w:sz="4" w:space="0" w:color="auto"/>
              <w:right w:val="single" w:sz="6" w:space="0" w:color="auto"/>
            </w:tcBorders>
            <w:vAlign w:val="center"/>
          </w:tcPr>
          <w:p w14:paraId="477A8050" w14:textId="7BA404E5" w:rsidR="005912BD" w:rsidRPr="00427B5F" w:rsidRDefault="005912BD" w:rsidP="005912BD">
            <w:pPr>
              <w:pStyle w:val="p10"/>
              <w:spacing w:before="0" w:beforeAutospacing="0" w:after="0" w:afterAutospacing="0"/>
              <w:contextualSpacing/>
              <w:jc w:val="center"/>
              <w:rPr>
                <w:bCs/>
                <w:sz w:val="20"/>
                <w:szCs w:val="20"/>
                <w:lang w:val="uk-UA" w:eastAsia="uk-UA"/>
              </w:rPr>
            </w:pPr>
            <w:r w:rsidRPr="00427B5F">
              <w:rPr>
                <w:sz w:val="22"/>
                <w:szCs w:val="22"/>
                <w:lang w:val="uk-UA"/>
              </w:rPr>
              <w:lastRenderedPageBreak/>
              <w:t>Крупа ячна</w:t>
            </w:r>
          </w:p>
        </w:tc>
        <w:tc>
          <w:tcPr>
            <w:tcW w:w="4678" w:type="dxa"/>
            <w:tcBorders>
              <w:top w:val="single" w:sz="4" w:space="0" w:color="auto"/>
            </w:tcBorders>
            <w:vAlign w:val="center"/>
          </w:tcPr>
          <w:p w14:paraId="4199454B" w14:textId="65977F6E" w:rsidR="005912BD" w:rsidRPr="00427B5F" w:rsidRDefault="007F376B" w:rsidP="005912BD">
            <w:pPr>
              <w:spacing w:after="0" w:line="240" w:lineRule="auto"/>
              <w:contextualSpacing/>
              <w:jc w:val="both"/>
              <w:rPr>
                <w:sz w:val="20"/>
                <w:szCs w:val="20"/>
                <w:highlight w:val="yellow"/>
              </w:rPr>
            </w:pPr>
            <w:r w:rsidRPr="00427B5F">
              <w:rPr>
                <w:sz w:val="20"/>
                <w:szCs w:val="20"/>
              </w:rPr>
              <w:t>Крупа має бути дроблена і шліфована, кольорів від білого до світло-кремового різних відтінків</w:t>
            </w:r>
            <w:r w:rsidR="005912BD" w:rsidRPr="00427B5F">
              <w:rPr>
                <w:sz w:val="20"/>
                <w:szCs w:val="20"/>
              </w:rPr>
              <w:t xml:space="preserve">.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w:t>
            </w:r>
            <w:r w:rsidR="00427B5F" w:rsidRPr="00427B5F">
              <w:rPr>
                <w:sz w:val="20"/>
                <w:szCs w:val="20"/>
              </w:rPr>
              <w:t>Без ГМО. Має відповідати державному стандарту України. Фасування у поліпропіленові пакети, вагою до 1 кг.</w:t>
            </w:r>
          </w:p>
        </w:tc>
        <w:tc>
          <w:tcPr>
            <w:tcW w:w="1134" w:type="dxa"/>
            <w:vAlign w:val="center"/>
          </w:tcPr>
          <w:p w14:paraId="30042BFC" w14:textId="3ADB7B4A" w:rsidR="005912BD" w:rsidRPr="00E83BBB" w:rsidRDefault="005912BD" w:rsidP="005912B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2B181EF1" w14:textId="67281CB6" w:rsidR="005912BD" w:rsidRDefault="005912BD" w:rsidP="005912BD">
            <w:pPr>
              <w:spacing w:after="0" w:line="240" w:lineRule="auto"/>
              <w:jc w:val="center"/>
              <w:rPr>
                <w:sz w:val="20"/>
                <w:szCs w:val="20"/>
                <w:lang w:eastAsia="ru-RU"/>
              </w:rPr>
            </w:pPr>
            <w:r w:rsidRPr="00663F39">
              <w:rPr>
                <w:sz w:val="22"/>
                <w:lang w:eastAsia="uk-UA"/>
              </w:rPr>
              <w:t>850</w:t>
            </w:r>
          </w:p>
        </w:tc>
        <w:tc>
          <w:tcPr>
            <w:tcW w:w="1417" w:type="dxa"/>
            <w:vAlign w:val="center"/>
          </w:tcPr>
          <w:p w14:paraId="5767C676" w14:textId="06D0E00B" w:rsidR="005912BD" w:rsidRPr="00E83BBB" w:rsidRDefault="005912BD" w:rsidP="005912B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5912BD" w:rsidRPr="00E83BBB" w14:paraId="16A3208C" w14:textId="77777777" w:rsidTr="00E13D18">
        <w:trPr>
          <w:trHeight w:val="243"/>
        </w:trPr>
        <w:tc>
          <w:tcPr>
            <w:tcW w:w="1702" w:type="dxa"/>
            <w:tcBorders>
              <w:top w:val="single" w:sz="4" w:space="0" w:color="auto"/>
              <w:left w:val="single" w:sz="4" w:space="0" w:color="auto"/>
              <w:bottom w:val="single" w:sz="4" w:space="0" w:color="auto"/>
              <w:right w:val="single" w:sz="6" w:space="0" w:color="auto"/>
            </w:tcBorders>
            <w:vAlign w:val="center"/>
          </w:tcPr>
          <w:p w14:paraId="7645A1D8" w14:textId="26BD34A5" w:rsidR="005912BD" w:rsidRPr="00427B5F" w:rsidRDefault="005912BD" w:rsidP="005912BD">
            <w:pPr>
              <w:pStyle w:val="p10"/>
              <w:spacing w:before="0" w:beforeAutospacing="0" w:after="0" w:afterAutospacing="0"/>
              <w:contextualSpacing/>
              <w:jc w:val="center"/>
              <w:rPr>
                <w:bCs/>
                <w:sz w:val="20"/>
                <w:szCs w:val="20"/>
                <w:lang w:val="uk-UA" w:eastAsia="uk-UA"/>
              </w:rPr>
            </w:pPr>
            <w:r w:rsidRPr="00427B5F">
              <w:rPr>
                <w:sz w:val="22"/>
                <w:szCs w:val="22"/>
                <w:lang w:val="uk-UA"/>
              </w:rPr>
              <w:t>Крупа пшенична</w:t>
            </w:r>
          </w:p>
        </w:tc>
        <w:tc>
          <w:tcPr>
            <w:tcW w:w="4678" w:type="dxa"/>
            <w:vAlign w:val="center"/>
          </w:tcPr>
          <w:p w14:paraId="685ED081" w14:textId="133BED9A" w:rsidR="005912BD" w:rsidRPr="00427B5F" w:rsidRDefault="007F376B" w:rsidP="005912BD">
            <w:pPr>
              <w:spacing w:after="0" w:line="240" w:lineRule="auto"/>
              <w:contextualSpacing/>
              <w:jc w:val="both"/>
              <w:rPr>
                <w:sz w:val="20"/>
                <w:szCs w:val="20"/>
                <w:highlight w:val="yellow"/>
              </w:rPr>
            </w:pPr>
            <w:r w:rsidRPr="00427B5F">
              <w:rPr>
                <w:sz w:val="20"/>
                <w:szCs w:val="20"/>
              </w:rPr>
              <w:t xml:space="preserve">Крупа повинна мати жовтий колір.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w:t>
            </w:r>
            <w:r w:rsidR="00427B5F" w:rsidRPr="00427B5F">
              <w:rPr>
                <w:sz w:val="20"/>
                <w:szCs w:val="20"/>
              </w:rPr>
              <w:t>Без ГМО. Має відповідати державному стандарту України. Фасування у поліпропіленові пакети, вагою до 1 кг.</w:t>
            </w:r>
          </w:p>
        </w:tc>
        <w:tc>
          <w:tcPr>
            <w:tcW w:w="1134" w:type="dxa"/>
            <w:vAlign w:val="center"/>
          </w:tcPr>
          <w:p w14:paraId="1871DA94" w14:textId="162FCC6E" w:rsidR="005912BD" w:rsidRPr="00E83BBB" w:rsidRDefault="005912BD" w:rsidP="005912B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62DB20F4" w14:textId="721A8787" w:rsidR="005912BD" w:rsidRDefault="005912BD" w:rsidP="005912BD">
            <w:pPr>
              <w:spacing w:after="0" w:line="240" w:lineRule="auto"/>
              <w:jc w:val="center"/>
              <w:rPr>
                <w:sz w:val="20"/>
                <w:szCs w:val="20"/>
                <w:lang w:eastAsia="ru-RU"/>
              </w:rPr>
            </w:pPr>
            <w:r w:rsidRPr="00663F39">
              <w:rPr>
                <w:sz w:val="22"/>
                <w:lang w:eastAsia="uk-UA"/>
              </w:rPr>
              <w:t>1000</w:t>
            </w:r>
          </w:p>
        </w:tc>
        <w:tc>
          <w:tcPr>
            <w:tcW w:w="1417" w:type="dxa"/>
            <w:vAlign w:val="center"/>
          </w:tcPr>
          <w:p w14:paraId="0B8C0B88" w14:textId="37192837" w:rsidR="005912BD" w:rsidRPr="00E83BBB" w:rsidRDefault="005912BD" w:rsidP="005912B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5912BD" w:rsidRPr="00E83BBB" w14:paraId="260F2C0D" w14:textId="77777777" w:rsidTr="00E13D18">
        <w:trPr>
          <w:trHeight w:val="243"/>
        </w:trPr>
        <w:tc>
          <w:tcPr>
            <w:tcW w:w="1702" w:type="dxa"/>
            <w:tcBorders>
              <w:top w:val="single" w:sz="4" w:space="0" w:color="auto"/>
              <w:left w:val="single" w:sz="4" w:space="0" w:color="auto"/>
              <w:bottom w:val="single" w:sz="4" w:space="0" w:color="auto"/>
              <w:right w:val="single" w:sz="6" w:space="0" w:color="auto"/>
            </w:tcBorders>
            <w:vAlign w:val="center"/>
          </w:tcPr>
          <w:p w14:paraId="5A3DEDB9" w14:textId="711F2AA1" w:rsidR="005912BD" w:rsidRPr="00427B5F" w:rsidRDefault="005912BD" w:rsidP="005912BD">
            <w:pPr>
              <w:pStyle w:val="p10"/>
              <w:spacing w:before="0" w:beforeAutospacing="0" w:after="0" w:afterAutospacing="0"/>
              <w:contextualSpacing/>
              <w:jc w:val="center"/>
              <w:rPr>
                <w:bCs/>
                <w:sz w:val="20"/>
                <w:szCs w:val="20"/>
                <w:lang w:val="uk-UA" w:eastAsia="uk-UA"/>
              </w:rPr>
            </w:pPr>
            <w:r w:rsidRPr="00427B5F">
              <w:rPr>
                <w:sz w:val="22"/>
                <w:szCs w:val="22"/>
                <w:lang w:val="uk-UA"/>
              </w:rPr>
              <w:t>Крупа кукурудзяна</w:t>
            </w:r>
          </w:p>
        </w:tc>
        <w:tc>
          <w:tcPr>
            <w:tcW w:w="4678" w:type="dxa"/>
            <w:vAlign w:val="center"/>
          </w:tcPr>
          <w:p w14:paraId="14D5C453" w14:textId="1DAB439A" w:rsidR="005912BD" w:rsidRPr="00427B5F" w:rsidRDefault="005912BD" w:rsidP="005912BD">
            <w:pPr>
              <w:spacing w:after="0" w:line="240" w:lineRule="auto"/>
              <w:contextualSpacing/>
              <w:jc w:val="both"/>
              <w:rPr>
                <w:sz w:val="20"/>
                <w:szCs w:val="20"/>
                <w:highlight w:val="yellow"/>
              </w:rPr>
            </w:pPr>
            <w:r w:rsidRPr="00427B5F">
              <w:rPr>
                <w:sz w:val="20"/>
                <w:szCs w:val="20"/>
              </w:rPr>
              <w:t>Крупа повинна мати жовтий колір.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w:t>
            </w:r>
            <w:bookmarkStart w:id="1" w:name="_Hlk151455238"/>
            <w:r w:rsidRPr="00427B5F">
              <w:rPr>
                <w:sz w:val="20"/>
                <w:szCs w:val="20"/>
              </w:rPr>
              <w:t>.</w:t>
            </w:r>
            <w:r w:rsidR="00427B5F" w:rsidRPr="00427B5F">
              <w:t xml:space="preserve"> </w:t>
            </w:r>
            <w:bookmarkEnd w:id="1"/>
            <w:r w:rsidR="00427B5F" w:rsidRPr="00427B5F">
              <w:rPr>
                <w:sz w:val="20"/>
                <w:szCs w:val="20"/>
              </w:rPr>
              <w:t>Без ГМО. Має відповідати державному стандарту України. Фасування у поліпропіленові пакети, вагою до 1 кг.</w:t>
            </w:r>
          </w:p>
        </w:tc>
        <w:tc>
          <w:tcPr>
            <w:tcW w:w="1134" w:type="dxa"/>
            <w:vAlign w:val="center"/>
          </w:tcPr>
          <w:p w14:paraId="67D97021" w14:textId="5B28A643" w:rsidR="005912BD" w:rsidRPr="00E83BBB" w:rsidRDefault="005912BD" w:rsidP="005912B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1BAF82E0" w14:textId="48BA8408" w:rsidR="005912BD" w:rsidRDefault="005912BD" w:rsidP="005912BD">
            <w:pPr>
              <w:spacing w:after="0" w:line="240" w:lineRule="auto"/>
              <w:jc w:val="center"/>
              <w:rPr>
                <w:sz w:val="20"/>
                <w:szCs w:val="20"/>
                <w:lang w:eastAsia="ru-RU"/>
              </w:rPr>
            </w:pPr>
            <w:r w:rsidRPr="00663F39">
              <w:rPr>
                <w:sz w:val="22"/>
                <w:lang w:eastAsia="uk-UA"/>
              </w:rPr>
              <w:t>1000</w:t>
            </w:r>
          </w:p>
        </w:tc>
        <w:tc>
          <w:tcPr>
            <w:tcW w:w="1417" w:type="dxa"/>
            <w:vAlign w:val="center"/>
          </w:tcPr>
          <w:p w14:paraId="373C7988" w14:textId="4A0DA55A" w:rsidR="005912BD" w:rsidRPr="00E83BBB" w:rsidRDefault="005912BD" w:rsidP="005912B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5912BD" w:rsidRPr="00E83BBB" w14:paraId="12B5C5B2" w14:textId="77777777" w:rsidTr="00E13D18">
        <w:trPr>
          <w:trHeight w:val="243"/>
        </w:trPr>
        <w:tc>
          <w:tcPr>
            <w:tcW w:w="1702" w:type="dxa"/>
            <w:tcBorders>
              <w:top w:val="single" w:sz="4" w:space="0" w:color="auto"/>
              <w:left w:val="single" w:sz="4" w:space="0" w:color="auto"/>
              <w:bottom w:val="single" w:sz="4" w:space="0" w:color="auto"/>
              <w:right w:val="single" w:sz="6" w:space="0" w:color="auto"/>
            </w:tcBorders>
            <w:vAlign w:val="center"/>
          </w:tcPr>
          <w:p w14:paraId="2F19B9CD" w14:textId="205FFA32" w:rsidR="005912BD" w:rsidRPr="00427B5F" w:rsidRDefault="005912BD" w:rsidP="005912BD">
            <w:pPr>
              <w:pStyle w:val="p10"/>
              <w:spacing w:before="0" w:beforeAutospacing="0" w:after="0" w:afterAutospacing="0"/>
              <w:contextualSpacing/>
              <w:jc w:val="center"/>
              <w:rPr>
                <w:bCs/>
                <w:sz w:val="20"/>
                <w:szCs w:val="20"/>
                <w:lang w:val="uk-UA" w:eastAsia="uk-UA"/>
              </w:rPr>
            </w:pPr>
            <w:r w:rsidRPr="00427B5F">
              <w:rPr>
                <w:sz w:val="22"/>
                <w:szCs w:val="22"/>
                <w:lang w:val="uk-UA"/>
              </w:rPr>
              <w:t>Рис оброблений</w:t>
            </w:r>
          </w:p>
        </w:tc>
        <w:tc>
          <w:tcPr>
            <w:tcW w:w="4678" w:type="dxa"/>
            <w:vAlign w:val="center"/>
          </w:tcPr>
          <w:p w14:paraId="08F9C777" w14:textId="30E8694C" w:rsidR="005912BD" w:rsidRPr="00427B5F" w:rsidRDefault="00C11A7A" w:rsidP="008838EB">
            <w:pPr>
              <w:spacing w:after="0" w:line="240" w:lineRule="auto"/>
              <w:contextualSpacing/>
              <w:jc w:val="both"/>
              <w:rPr>
                <w:sz w:val="20"/>
                <w:szCs w:val="20"/>
              </w:rPr>
            </w:pPr>
            <w:r w:rsidRPr="00427B5F">
              <w:rPr>
                <w:sz w:val="20"/>
                <w:szCs w:val="20"/>
              </w:rPr>
              <w:t>Рис повинен бути</w:t>
            </w:r>
            <w:r w:rsidR="008838EB">
              <w:rPr>
                <w:sz w:val="20"/>
                <w:szCs w:val="20"/>
              </w:rPr>
              <w:t xml:space="preserve"> </w:t>
            </w:r>
            <w:proofErr w:type="spellStart"/>
            <w:r w:rsidR="008838EB" w:rsidRPr="008838EB">
              <w:rPr>
                <w:sz w:val="20"/>
                <w:szCs w:val="20"/>
              </w:rPr>
              <w:t>круглозернистий</w:t>
            </w:r>
            <w:proofErr w:type="spellEnd"/>
            <w:r w:rsidR="008838EB">
              <w:rPr>
                <w:sz w:val="20"/>
                <w:szCs w:val="20"/>
              </w:rPr>
              <w:t xml:space="preserve"> або </w:t>
            </w:r>
            <w:proofErr w:type="spellStart"/>
            <w:r w:rsidR="008838EB" w:rsidRPr="008838EB">
              <w:rPr>
                <w:sz w:val="20"/>
                <w:szCs w:val="20"/>
              </w:rPr>
              <w:t>довгозернистий</w:t>
            </w:r>
            <w:bookmarkStart w:id="2" w:name="_GoBack"/>
            <w:bookmarkEnd w:id="2"/>
            <w:proofErr w:type="spellEnd"/>
            <w:r w:rsidR="008838EB">
              <w:rPr>
                <w:sz w:val="20"/>
                <w:szCs w:val="20"/>
              </w:rPr>
              <w:t xml:space="preserve">, </w:t>
            </w:r>
            <w:r w:rsidRPr="00427B5F">
              <w:rPr>
                <w:sz w:val="20"/>
                <w:szCs w:val="20"/>
              </w:rPr>
              <w:t>білого кольору, сухий, запах властивий</w:t>
            </w:r>
            <w:r w:rsidR="00427B5F" w:rsidRPr="00427B5F">
              <w:rPr>
                <w:sz w:val="20"/>
                <w:szCs w:val="20"/>
              </w:rPr>
              <w:t xml:space="preserve"> </w:t>
            </w:r>
            <w:r w:rsidRPr="00427B5F">
              <w:rPr>
                <w:sz w:val="20"/>
                <w:szCs w:val="20"/>
              </w:rPr>
              <w:t>рисовій крупі без сторонніх запахів, не затхлий, без</w:t>
            </w:r>
            <w:r w:rsidR="00427B5F" w:rsidRPr="00427B5F">
              <w:rPr>
                <w:sz w:val="20"/>
                <w:szCs w:val="20"/>
              </w:rPr>
              <w:t xml:space="preserve"> </w:t>
            </w:r>
            <w:r w:rsidRPr="00427B5F">
              <w:rPr>
                <w:sz w:val="20"/>
                <w:szCs w:val="20"/>
              </w:rPr>
              <w:t xml:space="preserve">плісняви. Не заражений шкідниками. </w:t>
            </w:r>
            <w:r w:rsidR="00427B5F" w:rsidRPr="00427B5F">
              <w:rPr>
                <w:sz w:val="20"/>
                <w:szCs w:val="20"/>
              </w:rPr>
              <w:t>Вологість повинна не перевищувати 10%. Без ГМО. Має відповідати державному стандарту України. Фасування у поліпропіленові пакети, вагою до 1 кг.</w:t>
            </w:r>
          </w:p>
        </w:tc>
        <w:tc>
          <w:tcPr>
            <w:tcW w:w="1134" w:type="dxa"/>
            <w:vAlign w:val="center"/>
          </w:tcPr>
          <w:p w14:paraId="7165D979" w14:textId="088D5C25" w:rsidR="005912BD" w:rsidRPr="00E83BBB" w:rsidRDefault="005912BD" w:rsidP="005912B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6B54EE77" w14:textId="50951E2D" w:rsidR="005912BD" w:rsidRDefault="005912BD" w:rsidP="005912BD">
            <w:pPr>
              <w:spacing w:after="0" w:line="240" w:lineRule="auto"/>
              <w:jc w:val="center"/>
              <w:rPr>
                <w:sz w:val="20"/>
                <w:szCs w:val="20"/>
                <w:lang w:eastAsia="ru-RU"/>
              </w:rPr>
            </w:pPr>
            <w:r w:rsidRPr="00663F39">
              <w:rPr>
                <w:sz w:val="22"/>
                <w:lang w:eastAsia="uk-UA"/>
              </w:rPr>
              <w:t>1000</w:t>
            </w:r>
          </w:p>
        </w:tc>
        <w:tc>
          <w:tcPr>
            <w:tcW w:w="1417" w:type="dxa"/>
            <w:vAlign w:val="center"/>
          </w:tcPr>
          <w:p w14:paraId="344D40A5" w14:textId="5C6C9C5F" w:rsidR="005912BD" w:rsidRPr="00E83BBB" w:rsidRDefault="005912BD" w:rsidP="005912B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5912BD" w:rsidRPr="00E83BBB" w14:paraId="3F5219BD" w14:textId="77777777" w:rsidTr="00E13D18">
        <w:trPr>
          <w:trHeight w:val="243"/>
        </w:trPr>
        <w:tc>
          <w:tcPr>
            <w:tcW w:w="1702" w:type="dxa"/>
            <w:tcBorders>
              <w:top w:val="single" w:sz="4" w:space="0" w:color="auto"/>
              <w:left w:val="single" w:sz="4" w:space="0" w:color="auto"/>
              <w:bottom w:val="single" w:sz="4" w:space="0" w:color="auto"/>
              <w:right w:val="single" w:sz="6" w:space="0" w:color="auto"/>
            </w:tcBorders>
            <w:vAlign w:val="center"/>
          </w:tcPr>
          <w:p w14:paraId="626E09A4" w14:textId="3FF601FF" w:rsidR="005912BD" w:rsidRPr="00427B5F" w:rsidRDefault="005912BD" w:rsidP="005912BD">
            <w:pPr>
              <w:pStyle w:val="p10"/>
              <w:spacing w:before="0" w:beforeAutospacing="0" w:after="0" w:afterAutospacing="0"/>
              <w:contextualSpacing/>
              <w:jc w:val="center"/>
              <w:rPr>
                <w:bCs/>
                <w:sz w:val="20"/>
                <w:szCs w:val="20"/>
                <w:lang w:val="uk-UA" w:eastAsia="uk-UA"/>
              </w:rPr>
            </w:pPr>
            <w:r w:rsidRPr="00427B5F">
              <w:rPr>
                <w:sz w:val="22"/>
                <w:szCs w:val="22"/>
                <w:lang w:val="uk-UA"/>
              </w:rPr>
              <w:t>Борошно пшеничне в/г</w:t>
            </w:r>
          </w:p>
        </w:tc>
        <w:tc>
          <w:tcPr>
            <w:tcW w:w="4678" w:type="dxa"/>
            <w:vAlign w:val="center"/>
          </w:tcPr>
          <w:p w14:paraId="3274B976" w14:textId="64F50550" w:rsidR="005912BD" w:rsidRPr="00427B5F" w:rsidRDefault="00C11A7A" w:rsidP="00C11A7A">
            <w:pPr>
              <w:spacing w:after="0" w:line="240" w:lineRule="auto"/>
              <w:contextualSpacing/>
              <w:jc w:val="both"/>
              <w:rPr>
                <w:sz w:val="20"/>
                <w:szCs w:val="20"/>
              </w:rPr>
            </w:pPr>
            <w:r w:rsidRPr="00427B5F">
              <w:rPr>
                <w:sz w:val="20"/>
                <w:szCs w:val="20"/>
              </w:rPr>
              <w:t xml:space="preserve">Борошно вищого гатунку, повинно мати білий з кремовим відтінком колір, запах - властивий пшеничному борошну, без сторонніх запахів, не затхлий, не пліснявий, без сторонніх домішок. Борошно повинно бути без уражень шкідниками. Без ГМО. Має відповідати державному стандарту України. Фасування </w:t>
            </w:r>
            <w:r w:rsidR="00427B5F" w:rsidRPr="00427B5F">
              <w:rPr>
                <w:sz w:val="20"/>
                <w:szCs w:val="20"/>
              </w:rPr>
              <w:t>у</w:t>
            </w:r>
            <w:r w:rsidRPr="00427B5F">
              <w:rPr>
                <w:sz w:val="20"/>
                <w:szCs w:val="20"/>
              </w:rPr>
              <w:t xml:space="preserve"> паперові пакети</w:t>
            </w:r>
            <w:r w:rsidR="00427B5F" w:rsidRPr="00427B5F">
              <w:rPr>
                <w:sz w:val="20"/>
                <w:szCs w:val="20"/>
              </w:rPr>
              <w:t xml:space="preserve">, вагою </w:t>
            </w:r>
            <w:r w:rsidRPr="00427B5F">
              <w:rPr>
                <w:sz w:val="20"/>
                <w:szCs w:val="20"/>
              </w:rPr>
              <w:t>до 2 кг та/або поліпропіленові мішки</w:t>
            </w:r>
            <w:r w:rsidR="00427B5F" w:rsidRPr="00427B5F">
              <w:rPr>
                <w:sz w:val="20"/>
                <w:szCs w:val="20"/>
              </w:rPr>
              <w:t xml:space="preserve">, </w:t>
            </w:r>
            <w:r w:rsidRPr="00427B5F">
              <w:rPr>
                <w:sz w:val="20"/>
                <w:szCs w:val="20"/>
              </w:rPr>
              <w:t>вагою до 25 кг.</w:t>
            </w:r>
          </w:p>
        </w:tc>
        <w:tc>
          <w:tcPr>
            <w:tcW w:w="1134" w:type="dxa"/>
            <w:vAlign w:val="center"/>
          </w:tcPr>
          <w:p w14:paraId="42FBB863" w14:textId="4DB7D109" w:rsidR="005912BD" w:rsidRPr="00E83BBB" w:rsidRDefault="005912BD" w:rsidP="005912B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4DDD839B" w14:textId="19BD34F0" w:rsidR="005912BD" w:rsidRDefault="005912BD" w:rsidP="005912BD">
            <w:pPr>
              <w:spacing w:after="0" w:line="240" w:lineRule="auto"/>
              <w:jc w:val="center"/>
              <w:rPr>
                <w:sz w:val="20"/>
                <w:szCs w:val="20"/>
                <w:lang w:eastAsia="ru-RU"/>
              </w:rPr>
            </w:pPr>
            <w:r w:rsidRPr="00663F39">
              <w:rPr>
                <w:sz w:val="22"/>
                <w:lang w:eastAsia="uk-UA"/>
              </w:rPr>
              <w:t>2000</w:t>
            </w:r>
          </w:p>
        </w:tc>
        <w:tc>
          <w:tcPr>
            <w:tcW w:w="1417" w:type="dxa"/>
            <w:vAlign w:val="center"/>
          </w:tcPr>
          <w:p w14:paraId="460EC2C0" w14:textId="36A7AA1C" w:rsidR="005912BD" w:rsidRPr="00E83BBB" w:rsidRDefault="005912BD" w:rsidP="005912B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bookmarkEnd w:id="0"/>
    </w:tbl>
    <w:p w14:paraId="6FF73FD0" w14:textId="28813FF3" w:rsidR="00E83BBB" w:rsidRPr="00C16550" w:rsidRDefault="00E83BBB"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lastRenderedPageBreak/>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07A43117"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00892593">
        <w:rPr>
          <w:rFonts w:eastAsia="Arial"/>
          <w:sz w:val="24"/>
          <w:szCs w:val="24"/>
          <w:lang w:eastAsia="ru-RU"/>
        </w:rPr>
        <w:t xml:space="preserve">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lastRenderedPageBreak/>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412AC6AD" w14:textId="3BD770D2" w:rsidR="00A17C18" w:rsidRPr="00C16550" w:rsidRDefault="00814A9D" w:rsidP="000E3DAC">
      <w:pPr>
        <w:pStyle w:val="p10"/>
        <w:spacing w:before="0" w:beforeAutospacing="0" w:after="0" w:afterAutospacing="0"/>
        <w:ind w:firstLine="284"/>
        <w:contextualSpacing/>
        <w:jc w:val="both"/>
        <w:rPr>
          <w:lang w:val="uk-UA"/>
        </w:rPr>
      </w:pPr>
      <w:r>
        <w:rPr>
          <w:lang w:val="uk-UA"/>
        </w:rPr>
        <w:t>5.</w:t>
      </w:r>
      <w:r w:rsidR="00E83BBB">
        <w:rPr>
          <w:lang w:val="uk-UA"/>
        </w:rPr>
        <w:t>2</w:t>
      </w:r>
      <w:r>
        <w:rPr>
          <w:lang w:val="uk-UA"/>
        </w:rPr>
        <w:t xml:space="preserve">.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24DBA3F1"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E83BBB">
        <w:rPr>
          <w:lang w:val="uk-UA"/>
        </w:rPr>
        <w:t>3</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741D5239"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E83BBB">
        <w:rPr>
          <w:sz w:val="24"/>
          <w:szCs w:val="24"/>
          <w:lang w:eastAsia="ru-RU"/>
        </w:rPr>
        <w:t>4</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1DE8CA26"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377E69">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D0F1E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377E69" w:rsidRPr="00377E69">
        <w:rPr>
          <w:sz w:val="24"/>
          <w:szCs w:val="24"/>
          <w:lang w:eastAsia="ru-RU"/>
        </w:rPr>
        <w:t>№ 143-22</w:t>
      </w:r>
      <w:r w:rsidR="00377E69">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w:t>
      </w:r>
      <w:r w:rsidRPr="00C16550">
        <w:rPr>
          <w:sz w:val="24"/>
          <w:szCs w:val="24"/>
          <w:lang w:eastAsia="ru-RU"/>
        </w:rPr>
        <w:lastRenderedPageBreak/>
        <w:t>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8</w:t>
      </w:r>
      <w:r w:rsidRPr="00C16550">
        <w:rPr>
          <w:sz w:val="24"/>
          <w:szCs w:val="24"/>
          <w:lang w:eastAsia="ru-RU"/>
        </w:rPr>
        <w:t xml:space="preserve">.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C16550">
        <w:rPr>
          <w:sz w:val="24"/>
          <w:szCs w:val="24"/>
          <w:lang w:eastAsia="ru-RU"/>
        </w:rPr>
        <w:t>простежуваності</w:t>
      </w:r>
      <w:proofErr w:type="spellEnd"/>
      <w:r w:rsidRPr="00C16550">
        <w:rPr>
          <w:sz w:val="24"/>
          <w:szCs w:val="24"/>
          <w:lang w:eastAsia="ru-RU"/>
        </w:rPr>
        <w:t xml:space="preserve">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9</w:t>
      </w:r>
      <w:r w:rsidRPr="00C16550">
        <w:rPr>
          <w:sz w:val="24"/>
          <w:szCs w:val="24"/>
          <w:lang w:eastAsia="ru-RU"/>
        </w:rPr>
        <w:t>.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 xml:space="preserve">Для підтвердження дотримання </w:t>
      </w:r>
      <w:proofErr w:type="spellStart"/>
      <w:r w:rsidR="00823872" w:rsidRPr="00C16550">
        <w:rPr>
          <w:color w:val="000000"/>
          <w:sz w:val="24"/>
          <w:szCs w:val="24"/>
          <w:lang w:eastAsia="ru-RU"/>
        </w:rPr>
        <w:t>температурно-вологісних</w:t>
      </w:r>
      <w:proofErr w:type="spellEnd"/>
      <w:r w:rsidR="00823872" w:rsidRPr="00C16550">
        <w:rPr>
          <w:color w:val="000000"/>
          <w:sz w:val="24"/>
          <w:szCs w:val="24"/>
          <w:lang w:eastAsia="ru-RU"/>
        </w:rPr>
        <w:t xml:space="preserve">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4CA08B78" w14:textId="1AA98A3C"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2696BFF3" w14:textId="3B0FE4A6"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8838EB">
      <w:headerReference w:type="even" r:id="rId8"/>
      <w:headerReference w:type="default" r:id="rId9"/>
      <w:footerReference w:type="default" r:id="rId10"/>
      <w:headerReference w:type="first" r:id="rId11"/>
      <w:pgSz w:w="11906" w:h="16838" w:code="9"/>
      <w:pgMar w:top="567" w:right="567" w:bottom="1134" w:left="1701" w:header="510"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2EF468E6" w:rsidR="00AB61BA" w:rsidRDefault="00AB61BA">
        <w:pPr>
          <w:pStyle w:val="ab"/>
          <w:jc w:val="center"/>
        </w:pPr>
        <w:r>
          <w:fldChar w:fldCharType="begin"/>
        </w:r>
        <w:r>
          <w:instrText>PAGE   \* MERGEFORMAT</w:instrText>
        </w:r>
        <w:r>
          <w:fldChar w:fldCharType="separate"/>
        </w:r>
        <w:r w:rsidR="00144EE0" w:rsidRPr="00144EE0">
          <w:rPr>
            <w:noProof/>
            <w:lang w:val="ru-RU"/>
          </w:rPr>
          <w:t>6</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1E13BF">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1E13BF">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1E13BF">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444FC"/>
    <w:rsid w:val="00044E65"/>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0E5810"/>
    <w:rsid w:val="00102AE0"/>
    <w:rsid w:val="0010426C"/>
    <w:rsid w:val="00111E38"/>
    <w:rsid w:val="00112BE5"/>
    <w:rsid w:val="0011307D"/>
    <w:rsid w:val="001139A5"/>
    <w:rsid w:val="0012310C"/>
    <w:rsid w:val="0012789D"/>
    <w:rsid w:val="001311E9"/>
    <w:rsid w:val="00132752"/>
    <w:rsid w:val="001343D2"/>
    <w:rsid w:val="001345F0"/>
    <w:rsid w:val="00140786"/>
    <w:rsid w:val="00143422"/>
    <w:rsid w:val="00144EE0"/>
    <w:rsid w:val="001503BB"/>
    <w:rsid w:val="0015603C"/>
    <w:rsid w:val="00163D6C"/>
    <w:rsid w:val="00166B62"/>
    <w:rsid w:val="00181824"/>
    <w:rsid w:val="001842C1"/>
    <w:rsid w:val="00184C47"/>
    <w:rsid w:val="00185761"/>
    <w:rsid w:val="00194037"/>
    <w:rsid w:val="001948CE"/>
    <w:rsid w:val="001A4FC8"/>
    <w:rsid w:val="001A5DE6"/>
    <w:rsid w:val="001B12C6"/>
    <w:rsid w:val="001B6E01"/>
    <w:rsid w:val="001B7C20"/>
    <w:rsid w:val="001C0771"/>
    <w:rsid w:val="001C0EB3"/>
    <w:rsid w:val="001D4799"/>
    <w:rsid w:val="001E13BF"/>
    <w:rsid w:val="001E3AD1"/>
    <w:rsid w:val="001E71B4"/>
    <w:rsid w:val="001E7822"/>
    <w:rsid w:val="001F0DBC"/>
    <w:rsid w:val="001F5DAC"/>
    <w:rsid w:val="001F6486"/>
    <w:rsid w:val="0020417D"/>
    <w:rsid w:val="002060CE"/>
    <w:rsid w:val="00207030"/>
    <w:rsid w:val="0021336A"/>
    <w:rsid w:val="002141A9"/>
    <w:rsid w:val="00216345"/>
    <w:rsid w:val="00217CB4"/>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2F6976"/>
    <w:rsid w:val="00300955"/>
    <w:rsid w:val="00301720"/>
    <w:rsid w:val="00303100"/>
    <w:rsid w:val="003073C1"/>
    <w:rsid w:val="00316F9E"/>
    <w:rsid w:val="00323FD6"/>
    <w:rsid w:val="003263C6"/>
    <w:rsid w:val="00326C23"/>
    <w:rsid w:val="0034119F"/>
    <w:rsid w:val="00355778"/>
    <w:rsid w:val="00360DAE"/>
    <w:rsid w:val="00377E69"/>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27B5F"/>
    <w:rsid w:val="00430793"/>
    <w:rsid w:val="0043587B"/>
    <w:rsid w:val="004435B9"/>
    <w:rsid w:val="0044423B"/>
    <w:rsid w:val="004448D7"/>
    <w:rsid w:val="00450EA1"/>
    <w:rsid w:val="00466B7E"/>
    <w:rsid w:val="004743E6"/>
    <w:rsid w:val="00481953"/>
    <w:rsid w:val="00482391"/>
    <w:rsid w:val="00485461"/>
    <w:rsid w:val="0048749D"/>
    <w:rsid w:val="004905C7"/>
    <w:rsid w:val="00491291"/>
    <w:rsid w:val="00492CEE"/>
    <w:rsid w:val="004A5C37"/>
    <w:rsid w:val="004B05B4"/>
    <w:rsid w:val="004C765C"/>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74EE"/>
    <w:rsid w:val="005912BD"/>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4133C"/>
    <w:rsid w:val="00651DD3"/>
    <w:rsid w:val="00655D5C"/>
    <w:rsid w:val="006600CF"/>
    <w:rsid w:val="00662FB4"/>
    <w:rsid w:val="00667EA3"/>
    <w:rsid w:val="00674376"/>
    <w:rsid w:val="00674F75"/>
    <w:rsid w:val="0067664C"/>
    <w:rsid w:val="006823ED"/>
    <w:rsid w:val="006825E9"/>
    <w:rsid w:val="006864F7"/>
    <w:rsid w:val="00690154"/>
    <w:rsid w:val="00690839"/>
    <w:rsid w:val="0069799D"/>
    <w:rsid w:val="006A516C"/>
    <w:rsid w:val="006B0AC4"/>
    <w:rsid w:val="006B1E9A"/>
    <w:rsid w:val="006B6AEF"/>
    <w:rsid w:val="006C3F21"/>
    <w:rsid w:val="006D2DCD"/>
    <w:rsid w:val="006D316B"/>
    <w:rsid w:val="006E3CDA"/>
    <w:rsid w:val="006E4D5F"/>
    <w:rsid w:val="006E659E"/>
    <w:rsid w:val="006F384F"/>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7F376B"/>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38EB"/>
    <w:rsid w:val="00884AB0"/>
    <w:rsid w:val="008876D7"/>
    <w:rsid w:val="00892320"/>
    <w:rsid w:val="00892593"/>
    <w:rsid w:val="008B0BCE"/>
    <w:rsid w:val="008B1D4E"/>
    <w:rsid w:val="008B77DF"/>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0552"/>
    <w:rsid w:val="00995AA3"/>
    <w:rsid w:val="009A1F8F"/>
    <w:rsid w:val="009A66CF"/>
    <w:rsid w:val="009C0D1E"/>
    <w:rsid w:val="009C2DF5"/>
    <w:rsid w:val="009C3672"/>
    <w:rsid w:val="009D0A1D"/>
    <w:rsid w:val="009D6BA4"/>
    <w:rsid w:val="009D7CB4"/>
    <w:rsid w:val="009E28E6"/>
    <w:rsid w:val="009F267B"/>
    <w:rsid w:val="009F3BF0"/>
    <w:rsid w:val="00A14A2C"/>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07D4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B67AD"/>
    <w:rsid w:val="00BB6EBA"/>
    <w:rsid w:val="00BB79E0"/>
    <w:rsid w:val="00BC5A95"/>
    <w:rsid w:val="00BC748F"/>
    <w:rsid w:val="00BD1729"/>
    <w:rsid w:val="00BD26C3"/>
    <w:rsid w:val="00BD3487"/>
    <w:rsid w:val="00BE610A"/>
    <w:rsid w:val="00BE6491"/>
    <w:rsid w:val="00C04B0D"/>
    <w:rsid w:val="00C0696A"/>
    <w:rsid w:val="00C11A7A"/>
    <w:rsid w:val="00C16550"/>
    <w:rsid w:val="00C220E7"/>
    <w:rsid w:val="00C25908"/>
    <w:rsid w:val="00C307C7"/>
    <w:rsid w:val="00C30A54"/>
    <w:rsid w:val="00C55B23"/>
    <w:rsid w:val="00C616A5"/>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11CA"/>
    <w:rsid w:val="00D73B87"/>
    <w:rsid w:val="00D75AC3"/>
    <w:rsid w:val="00D75D88"/>
    <w:rsid w:val="00D8701F"/>
    <w:rsid w:val="00D91844"/>
    <w:rsid w:val="00D94AB7"/>
    <w:rsid w:val="00DA0778"/>
    <w:rsid w:val="00DA434D"/>
    <w:rsid w:val="00DA5808"/>
    <w:rsid w:val="00DA5A9A"/>
    <w:rsid w:val="00DA5F7C"/>
    <w:rsid w:val="00DB2190"/>
    <w:rsid w:val="00DB44B8"/>
    <w:rsid w:val="00DB66C5"/>
    <w:rsid w:val="00DC1D3F"/>
    <w:rsid w:val="00DD21D9"/>
    <w:rsid w:val="00DD558D"/>
    <w:rsid w:val="00DD7B7C"/>
    <w:rsid w:val="00DE5678"/>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3BBB"/>
    <w:rsid w:val="00E84BA4"/>
    <w:rsid w:val="00EA4355"/>
    <w:rsid w:val="00EA4AAE"/>
    <w:rsid w:val="00EB0049"/>
    <w:rsid w:val="00EB4AFE"/>
    <w:rsid w:val="00EB75BA"/>
    <w:rsid w:val="00EC0D58"/>
    <w:rsid w:val="00EC1A42"/>
    <w:rsid w:val="00EC617E"/>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9011-AD8B-4305-9901-26145860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2640</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2023-11-08T11:10:00Z</cp:lastPrinted>
  <dcterms:created xsi:type="dcterms:W3CDTF">2023-11-10T08:54:00Z</dcterms:created>
  <dcterms:modified xsi:type="dcterms:W3CDTF">2023-11-21T10:05:00Z</dcterms:modified>
</cp:coreProperties>
</file>