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60" w:hanging="0"/>
        <w:jc w:val="right"/>
        <w:rPr>
          <w:rFonts w:ascii="Times New Roman" w:hAnsi="Times New Roman" w:eastAsia="Times New Roman" w:cs="Times New Roman"/>
          <w:b/>
          <w:b/>
          <w:i/>
          <w:i/>
          <w:color w:val="4A86E8"/>
          <w:sz w:val="24"/>
          <w:szCs w:val="24"/>
        </w:rPr>
      </w:pPr>
      <w:r>
        <w:rPr>
          <w:rFonts w:eastAsia="Times New Roman" w:cs="Times New Roman" w:ascii="Times New Roman" w:hAnsi="Times New Roman"/>
          <w:b/>
          <w:i/>
          <w:color w:val="4A86E8"/>
          <w:sz w:val="24"/>
          <w:szCs w:val="24"/>
        </w:rPr>
      </w:r>
    </w:p>
    <w:p>
      <w:pPr>
        <w:pStyle w:val="Normal"/>
        <w:spacing w:lineRule="auto" w:line="240" w:before="0" w:after="0"/>
        <w:ind w:left="5660" w:firstLine="700"/>
        <w:jc w:val="right"/>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ind w:hanging="0"/>
        <w:jc w:val="right"/>
        <w:rPr/>
      </w:pPr>
      <w:r>
        <w:rPr>
          <w:rFonts w:eastAsia="Times New Roman" w:cs="Times New Roman" w:ascii="Times New Roman" w:hAnsi="Times New Roman"/>
          <w:b/>
          <w:color w:val="000000"/>
          <w:sz w:val="20"/>
          <w:szCs w:val="20"/>
        </w:rPr>
        <w:t>ДОДАТОК 1</w:t>
      </w:r>
    </w:p>
    <w:p>
      <w:pPr>
        <w:pStyle w:val="Normal"/>
        <w:spacing w:lineRule="auto" w:line="240" w:before="0" w:after="0"/>
        <w:ind w:left="5660" w:firstLine="700"/>
        <w:jc w:val="right"/>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до тендерної документації</w:t>
      </w:r>
    </w:p>
    <w:p>
      <w:pPr>
        <w:pStyle w:val="Normal"/>
        <w:spacing w:lineRule="auto" w:line="240" w:before="0" w:after="0"/>
        <w:ind w:left="5660" w:firstLine="70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 </w:t>
      </w:r>
    </w:p>
    <w:p>
      <w:pPr>
        <w:pStyle w:val="Normal"/>
        <w:numPr>
          <w:ilvl w:val="0"/>
          <w:numId w:val="1"/>
        </w:numPr>
        <w:shd w:val="clear" w:fill="FFFFFF"/>
        <w:spacing w:lineRule="auto" w:line="240" w:before="0" w:after="0"/>
        <w:ind w:left="502" w:hanging="36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eastAsia="Times New Roman" w:cs="Times New Roman" w:ascii="Times New Roman" w:hAnsi="Times New Roman"/>
          <w:b/>
          <w:sz w:val="20"/>
          <w:szCs w:val="20"/>
        </w:rPr>
        <w:t>«</w:t>
      </w:r>
      <w:r>
        <w:rPr>
          <w:rFonts w:eastAsia="Times New Roman" w:cs="Times New Roman" w:ascii="Times New Roman" w:hAnsi="Times New Roman"/>
          <w:b/>
          <w:color w:val="000000"/>
          <w:sz w:val="20"/>
          <w:szCs w:val="20"/>
        </w:rPr>
        <w:t>Про публічні закупівлі</w:t>
      </w:r>
      <w:r>
        <w:rPr>
          <w:rFonts w:eastAsia="Times New Roman" w:cs="Times New Roman" w:ascii="Times New Roman" w:hAnsi="Times New Roman"/>
          <w:b/>
          <w:sz w:val="20"/>
          <w:szCs w:val="20"/>
        </w:rPr>
        <w:t>»</w:t>
      </w:r>
      <w:r>
        <w:rPr>
          <w:rFonts w:eastAsia="Times New Roman" w:cs="Times New Roman" w:ascii="Times New Roman" w:hAnsi="Times New Roman"/>
          <w:b/>
          <w:color w:val="000000"/>
          <w:sz w:val="20"/>
          <w:szCs w:val="20"/>
        </w:rPr>
        <w:t>:</w:t>
      </w:r>
    </w:p>
    <w:p>
      <w:pPr>
        <w:pStyle w:val="Normal"/>
        <w:spacing w:lineRule="auto" w:line="240" w:before="0" w:after="0"/>
        <w:ind w:left="885" w:hanging="0"/>
        <w:jc w:val="center"/>
        <w:rPr>
          <w:rFonts w:ascii="Times New Roman" w:hAnsi="Times New Roman" w:eastAsia="Times New Roman" w:cs="Times New Roman"/>
          <w:b/>
          <w:b/>
          <w:i/>
          <w:i/>
          <w:color w:val="4472C4"/>
          <w:sz w:val="20"/>
          <w:szCs w:val="20"/>
        </w:rPr>
      </w:pPr>
      <w:r>
        <w:rPr>
          <w:rFonts w:eastAsia="Times New Roman" w:cs="Times New Roman" w:ascii="Times New Roman" w:hAnsi="Times New Roman"/>
          <w:b/>
          <w:i/>
          <w:color w:val="4472C4"/>
          <w:sz w:val="20"/>
          <w:szCs w:val="20"/>
        </w:rPr>
      </w:r>
    </w:p>
    <w:p>
      <w:pPr>
        <w:pStyle w:val="Normal"/>
        <w:spacing w:lineRule="auto" w:line="240" w:before="0" w:after="0"/>
        <w:ind w:left="885" w:hanging="0"/>
        <w:jc w:val="center"/>
        <w:rPr>
          <w:rFonts w:ascii="Times New Roman" w:hAnsi="Times New Roman" w:eastAsia="Times New Roman" w:cs="Times New Roman"/>
          <w:b/>
          <w:b/>
          <w:i/>
          <w:i/>
          <w:color w:val="4472C4"/>
          <w:sz w:val="20"/>
          <w:szCs w:val="20"/>
        </w:rPr>
      </w:pPr>
      <w:r>
        <w:rPr>
          <w:rFonts w:eastAsia="Times New Roman" w:cs="Times New Roman" w:ascii="Times New Roman" w:hAnsi="Times New Roman"/>
          <w:b/>
          <w:i/>
          <w:color w:val="4472C4"/>
          <w:sz w:val="20"/>
          <w:szCs w:val="20"/>
        </w:rPr>
      </w:r>
    </w:p>
    <w:tbl>
      <w:tblPr>
        <w:tblStyle w:val="Table1"/>
        <w:tblW w:w="9619" w:type="dxa"/>
        <w:jc w:val="center"/>
        <w:tblInd w:w="0" w:type="dxa"/>
        <w:tblCellMar>
          <w:top w:w="100" w:type="dxa"/>
          <w:left w:w="100" w:type="dxa"/>
          <w:bottom w:w="100" w:type="dxa"/>
          <w:right w:w="100" w:type="dxa"/>
        </w:tblCellMar>
        <w:tblLook w:val="0400"/>
      </w:tblPr>
      <w:tblGrid>
        <w:gridCol w:w="483"/>
        <w:gridCol w:w="2272"/>
        <w:gridCol w:w="6864"/>
      </w:tblGrid>
      <w:tr>
        <w:trPr>
          <w:trHeight w:val="690" w:hRule="atLeast"/>
        </w:trPr>
        <w:tc>
          <w:tcPr>
            <w:tcW w:w="483"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 </w:t>
            </w:r>
            <w:r>
              <w:rPr>
                <w:rFonts w:eastAsia="Times New Roman" w:cs="Times New Roman" w:ascii="Times New Roman" w:hAnsi="Times New Roman"/>
                <w:b/>
                <w:sz w:val="20"/>
                <w:szCs w:val="20"/>
              </w:rPr>
              <w:t>з</w:t>
            </w:r>
            <w:r>
              <w:rPr>
                <w:rFonts w:eastAsia="Times New Roman" w:cs="Times New Roman" w:ascii="Times New Roman" w:hAnsi="Times New Roman"/>
                <w:b/>
                <w:color w:val="000000"/>
                <w:sz w:val="20"/>
                <w:szCs w:val="20"/>
              </w:rPr>
              <w:t>/п</w:t>
            </w:r>
          </w:p>
        </w:tc>
        <w:tc>
          <w:tcPr>
            <w:tcW w:w="227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Кваліфікаційні критерії***</w:t>
            </w:r>
          </w:p>
        </w:tc>
        <w:tc>
          <w:tcPr>
            <w:tcW w:w="686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Документи та інформація, які підтверджують відповідність Учасника кваліфікаційним критеріям**</w:t>
            </w:r>
          </w:p>
        </w:tc>
      </w:tr>
      <w:tr>
        <w:trPr>
          <w:trHeight w:val="2255" w:hRule="atLeast"/>
        </w:trPr>
        <w:tc>
          <w:tcPr>
            <w:tcW w:w="483"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1</w:t>
            </w:r>
          </w:p>
        </w:tc>
        <w:tc>
          <w:tcPr>
            <w:tcW w:w="227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6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jc w:val="both"/>
              <w:rPr/>
            </w:pPr>
            <w:r>
              <w:rPr>
                <w:rFonts w:eastAsia="Times New Roman" w:cs="Times New Roman" w:ascii="Times New Roman" w:hAnsi="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pStyle w:val="Normal"/>
              <w:spacing w:lineRule="auto" w:line="240" w:before="0" w:after="0"/>
              <w:jc w:val="both"/>
              <w:rPr>
                <w:rFonts w:ascii="Times New Roman" w:hAnsi="Times New Roman" w:eastAsia="Times New Roman" w:cs="Times New Roman"/>
                <w:b/>
                <w:b/>
                <w:i/>
                <w:i/>
                <w:color w:val="000000"/>
                <w:sz w:val="20"/>
                <w:szCs w:val="20"/>
              </w:rPr>
            </w:pPr>
            <w:r>
              <w:rPr>
                <w:rFonts w:eastAsia="Times New Roman" w:cs="Times New Roman" w:ascii="Times New Roman" w:hAnsi="Times New Roman"/>
                <w:b/>
                <w:i/>
                <w:color w:val="000000"/>
                <w:sz w:val="20"/>
                <w:szCs w:val="20"/>
              </w:rPr>
              <w:t>Аналогічним вважається договір, за яким учасник постачав електричну енергію незалежно від того, чи включались послуги  з передачі та/або розподілу; </w:t>
            </w:r>
          </w:p>
          <w:p>
            <w:pPr>
              <w:pStyle w:val="Normal"/>
              <w:spacing w:lineRule="auto" w:line="240" w:before="0" w:after="0"/>
              <w:jc w:val="both"/>
              <w:rPr/>
            </w:pPr>
            <w:r>
              <w:rPr>
                <w:rFonts w:eastAsia="Times New Roman" w:cs="Times New Roman" w:ascii="Times New Roman" w:hAnsi="Times New Roman"/>
                <w:color w:val="000000"/>
                <w:sz w:val="20"/>
                <w:szCs w:val="20"/>
              </w:rPr>
              <w:t xml:space="preserve">1.1.2. не менше 1 копії договору, зазначеного </w:t>
            </w:r>
            <w:r>
              <w:rPr>
                <w:rFonts w:eastAsia="Times New Roman" w:cs="Times New Roman" w:ascii="Times New Roman" w:hAnsi="Times New Roman"/>
                <w:sz w:val="20"/>
                <w:szCs w:val="20"/>
              </w:rPr>
              <w:t>в</w:t>
            </w:r>
            <w:r>
              <w:rPr>
                <w:rFonts w:eastAsia="Times New Roman" w:cs="Times New Roman" w:ascii="Times New Roman" w:hAnsi="Times New Roman"/>
                <w:color w:val="000000"/>
                <w:sz w:val="20"/>
                <w:szCs w:val="20"/>
              </w:rPr>
              <w:t xml:space="preserve"> довідці </w:t>
            </w:r>
            <w:r>
              <w:rPr>
                <w:rFonts w:eastAsia="Times New Roman" w:cs="Times New Roman" w:ascii="Times New Roman" w:hAnsi="Times New Roman"/>
                <w:sz w:val="20"/>
                <w:szCs w:val="20"/>
              </w:rPr>
              <w:t>в</w:t>
            </w:r>
            <w:r>
              <w:rPr>
                <w:rFonts w:eastAsia="Times New Roman" w:cs="Times New Roman" w:ascii="Times New Roman" w:hAnsi="Times New Roman"/>
                <w:color w:val="000000"/>
                <w:sz w:val="20"/>
                <w:szCs w:val="20"/>
              </w:rPr>
              <w:t xml:space="preserve"> повному обсязі </w:t>
            </w:r>
            <w:r>
              <w:rPr>
                <w:rFonts w:eastAsia="Times New Roman" w:cs="Times New Roman" w:ascii="Times New Roman" w:hAnsi="Times New Roman"/>
                <w:color w:val="000000"/>
                <w:sz w:val="20"/>
                <w:szCs w:val="20"/>
                <w:lang w:val="uk-UA"/>
              </w:rPr>
              <w:t>(з усіма додатками, зазначеними в договорі, як невід’ємні, та додатковими угодами/договорами за наявності таких);</w:t>
            </w:r>
          </w:p>
          <w:p>
            <w:pPr>
              <w:pStyle w:val="Normal"/>
              <w:spacing w:lineRule="auto" w:line="240" w:before="0" w:after="0"/>
              <w:jc w:val="both"/>
              <w:rPr/>
            </w:pPr>
            <w:r>
              <w:rPr>
                <w:rFonts w:eastAsia="Times New Roman" w:cs="Times New Roman" w:ascii="Times New Roman" w:hAnsi="Times New Roman"/>
                <w:color w:val="000000"/>
                <w:sz w:val="20"/>
                <w:szCs w:val="20"/>
              </w:rPr>
              <w:t xml:space="preserve">1.1.3. </w:t>
            </w:r>
            <w:r>
              <w:rPr>
                <w:rFonts w:eastAsia="Times New Roman" w:cs="Times New Roman" w:ascii="Times New Roman" w:hAnsi="Times New Roman"/>
                <w:color w:val="000000"/>
                <w:sz w:val="20"/>
                <w:szCs w:val="20"/>
                <w:highlight w:val="white"/>
              </w:rPr>
              <w:t>лист</w:t>
            </w:r>
            <w:r>
              <w:rPr>
                <w:rFonts w:eastAsia="Times New Roman" w:cs="Times New Roman" w:ascii="Times New Roman" w:hAnsi="Times New Roman"/>
                <w:sz w:val="20"/>
                <w:szCs w:val="20"/>
                <w:highlight w:val="white"/>
              </w:rPr>
              <w:t>-</w:t>
            </w:r>
            <w:r>
              <w:rPr>
                <w:rFonts w:eastAsia="Times New Roman" w:cs="Times New Roman" w:ascii="Times New Roman" w:hAnsi="Times New Roman"/>
                <w:color w:val="000000"/>
                <w:sz w:val="20"/>
                <w:szCs w:val="20"/>
                <w:highlight w:val="white"/>
              </w:rPr>
              <w:t>відгук (або рекомендаційний лист тощо) (не менше одного) від контрагента згідно з аналогічн</w:t>
            </w:r>
            <w:r>
              <w:rPr>
                <w:rFonts w:eastAsia="Times New Roman" w:cs="Times New Roman" w:ascii="Times New Roman" w:hAnsi="Times New Roman"/>
                <w:sz w:val="20"/>
                <w:szCs w:val="20"/>
                <w:highlight w:val="white"/>
              </w:rPr>
              <w:t>им</w:t>
            </w:r>
            <w:r>
              <w:rPr>
                <w:rFonts w:eastAsia="Times New Roman" w:cs="Times New Roman" w:ascii="Times New Roman" w:hAnsi="Times New Roman"/>
                <w:color w:val="000000"/>
                <w:sz w:val="20"/>
                <w:szCs w:val="20"/>
                <w:highlight w:val="white"/>
              </w:rPr>
              <w:t xml:space="preserve"> договор</w:t>
            </w:r>
            <w:r>
              <w:rPr>
                <w:rFonts w:eastAsia="Times New Roman" w:cs="Times New Roman" w:ascii="Times New Roman" w:hAnsi="Times New Roman"/>
                <w:sz w:val="20"/>
                <w:szCs w:val="20"/>
                <w:highlight w:val="white"/>
              </w:rPr>
              <w:t>ом</w:t>
            </w:r>
            <w:r>
              <w:rPr>
                <w:rFonts w:eastAsia="Times New Roman" w:cs="Times New Roman" w:ascii="Times New Roman" w:hAnsi="Times New Roman"/>
                <w:color w:val="000000"/>
                <w:sz w:val="20"/>
                <w:szCs w:val="20"/>
                <w:highlight w:val="white"/>
              </w:rPr>
              <w:t xml:space="preserve">, який зазначено </w:t>
            </w:r>
            <w:r>
              <w:rPr>
                <w:rFonts w:eastAsia="Times New Roman" w:cs="Times New Roman" w:ascii="Times New Roman" w:hAnsi="Times New Roman"/>
                <w:sz w:val="20"/>
                <w:szCs w:val="20"/>
                <w:highlight w:val="white"/>
              </w:rPr>
              <w:t>в</w:t>
            </w:r>
            <w:r>
              <w:rPr>
                <w:rFonts w:eastAsia="Times New Roman" w:cs="Times New Roman" w:ascii="Times New Roman" w:hAnsi="Times New Roman"/>
                <w:color w:val="000000"/>
                <w:sz w:val="20"/>
                <w:szCs w:val="20"/>
                <w:highlight w:val="white"/>
              </w:rPr>
              <w:t xml:space="preserve"> довідці та надано у складі тендерної пр</w:t>
            </w:r>
            <w:r>
              <w:rPr>
                <w:rFonts w:eastAsia="Times New Roman" w:cs="Times New Roman" w:ascii="Times New Roman" w:hAnsi="Times New Roman"/>
                <w:color w:val="000000"/>
                <w:sz w:val="20"/>
                <w:szCs w:val="20"/>
              </w:rPr>
              <w:t xml:space="preserve">опозиції про належне виконання цього договору. </w:t>
            </w:r>
          </w:p>
        </w:tc>
      </w:tr>
    </w:tbl>
    <w:p>
      <w:pPr>
        <w:pStyle w:val="Normal"/>
        <w:spacing w:lineRule="auto" w:line="240" w:before="240" w:after="0"/>
        <w:ind w:firstLine="720"/>
        <w:jc w:val="both"/>
        <w:rPr/>
      </w:pPr>
      <w:r>
        <w:rPr>
          <w:rFonts w:eastAsia="Times New Roman" w:cs="Times New Roman" w:ascii="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lineRule="auto" w:line="240" w:before="240" w:after="0"/>
        <w:ind w:firstLine="72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before="0" w:after="0"/>
        <w:ind w:left="-426" w:firstLine="426"/>
        <w:rPr>
          <w:sz w:val="20"/>
          <w:szCs w:val="20"/>
        </w:rPr>
      </w:pPr>
      <w:r>
        <w:rPr>
          <w:rFonts w:eastAsia="Times New Roman" w:cs="Times New Roman" w:ascii="Times New Roman" w:hAnsi="Times New Roman"/>
          <w:b/>
          <w:sz w:val="20"/>
          <w:szCs w:val="20"/>
        </w:rPr>
        <w:t>2. Підтверджує відсутність підстав, зазначених в пункті 47 Особливостей</w:t>
      </w:r>
    </w:p>
    <w:p>
      <w:pPr>
        <w:pStyle w:val="Normal"/>
        <w:spacing w:lineRule="auto" w:line="240" w:before="0" w:after="0"/>
        <w:ind w:left="-426" w:firstLine="426"/>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40" w:before="0" w:after="0"/>
        <w:ind w:left="-426" w:firstLine="567"/>
        <w:jc w:val="both"/>
        <w:rPr>
          <w:sz w:val="20"/>
          <w:szCs w:val="20"/>
        </w:rPr>
      </w:pPr>
      <w:r>
        <w:rPr>
          <w:rFonts w:eastAsia="Times New Roman" w:cs="Times New Roman" w:ascii="Times New Roman" w:hAnsi="Times New Roman"/>
          <w:sz w:val="20"/>
          <w:szCs w:val="20"/>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Pr>
          <w:rFonts w:eastAsia="Times New Roman" w:cs="Times New Roman" w:ascii="Times New Roman" w:hAnsi="Times New Roman"/>
          <w:b/>
          <w:sz w:val="20"/>
          <w:szCs w:val="20"/>
        </w:rPr>
        <w:t>шляхом самостійного декларування відсутності таких підстав</w:t>
      </w:r>
      <w:r>
        <w:rPr>
          <w:rFonts w:eastAsia="Times New Roman" w:cs="Times New Roman" w:ascii="Times New Roman" w:hAnsi="Times New Roman"/>
          <w:sz w:val="20"/>
          <w:szCs w:val="20"/>
        </w:rPr>
        <w:t xml:space="preserve"> в електронній системі закупівель під час подання тендерної пропозиції.</w:t>
      </w:r>
    </w:p>
    <w:p>
      <w:pPr>
        <w:pStyle w:val="Normal"/>
        <w:widowControl w:val="false"/>
        <w:spacing w:lineRule="auto" w:line="240" w:before="0" w:after="0"/>
        <w:ind w:left="-426" w:firstLine="567"/>
        <w:jc w:val="both"/>
        <w:rPr>
          <w:sz w:val="20"/>
          <w:szCs w:val="20"/>
        </w:rPr>
      </w:pPr>
      <w:r>
        <w:rPr>
          <w:rFonts w:eastAsia="Times New Roman" w:cs="Times New Roman" w:ascii="Times New Roman" w:hAnsi="Times New Roman"/>
          <w:sz w:val="20"/>
          <w:szCs w:val="20"/>
        </w:rPr>
        <w:t xml:space="preserve">Учасник  повинен надати </w:t>
      </w:r>
      <w:r>
        <w:rPr>
          <w:rFonts w:eastAsia="Times New Roman" w:cs="Times New Roman" w:ascii="Times New Roman" w:hAnsi="Times New Roman"/>
          <w:b/>
          <w:sz w:val="20"/>
          <w:szCs w:val="20"/>
        </w:rPr>
        <w:t>довідку у довільній формі</w:t>
      </w:r>
      <w:r>
        <w:rPr>
          <w:rFonts w:eastAsia="Times New Roman" w:cs="Times New Roman" w:ascii="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pPr>
        <w:pStyle w:val="ListParagraph"/>
        <w:numPr>
          <w:ilvl w:val="0"/>
          <w:numId w:val="0"/>
        </w:numPr>
        <w:spacing w:lineRule="auto" w:line="240" w:before="240" w:after="0"/>
        <w:ind w:left="360" w:hanging="0"/>
        <w:contextualSpacing/>
        <w:rPr>
          <w:sz w:val="20"/>
          <w:szCs w:val="20"/>
        </w:rPr>
      </w:pPr>
      <w:r>
        <w:rPr>
          <w:rFonts w:eastAsia="Times New Roman" w:cs="Times New Roman" w:ascii="Times New Roman" w:hAnsi="Times New Roman"/>
          <w:b/>
          <w:color w:val="000000"/>
          <w:sz w:val="20"/>
          <w:szCs w:val="20"/>
          <w:lang w:val="uk-UA"/>
        </w:rPr>
        <w:t>3.</w:t>
      </w:r>
      <w:r>
        <w:rPr>
          <w:rFonts w:eastAsia="Times New Roman" w:cs="Times New Roman" w:ascii="Times New Roman" w:hAnsi="Times New Roman"/>
          <w:b/>
          <w:color w:val="000000"/>
          <w:sz w:val="20"/>
          <w:szCs w:val="20"/>
        </w:rPr>
        <w:t> Перелік документів та інформації  для підтвердження відповідності ПЕРЕМОЖЦЯ вимогам, визначеним у п. 47 Особливостей.</w:t>
      </w:r>
    </w:p>
    <w:p>
      <w:pPr>
        <w:pStyle w:val="ListParagraph"/>
        <w:numPr>
          <w:ilvl w:val="0"/>
          <w:numId w:val="0"/>
        </w:numPr>
        <w:spacing w:lineRule="auto" w:line="240" w:before="240" w:after="0"/>
        <w:ind w:left="360" w:hanging="0"/>
        <w:contextualSpacing/>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widowControl w:val="false"/>
        <w:spacing w:lineRule="auto" w:line="240" w:before="0" w:after="0"/>
        <w:ind w:left="-284" w:firstLine="851"/>
        <w:jc w:val="both"/>
        <w:rPr>
          <w:sz w:val="20"/>
          <w:szCs w:val="20"/>
        </w:rPr>
      </w:pPr>
      <w:r>
        <w:rPr>
          <w:rFonts w:eastAsia="Times New Roman" w:cs="Times New Roman" w:ascii="Times New Roman" w:hAnsi="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pStyle w:val="Normal"/>
        <w:widowControl w:val="false"/>
        <w:spacing w:lineRule="auto" w:line="240" w:before="0" w:after="0"/>
        <w:ind w:left="-284" w:firstLine="851"/>
        <w:jc w:val="both"/>
        <w:rPr>
          <w:sz w:val="20"/>
          <w:szCs w:val="20"/>
        </w:rPr>
      </w:pPr>
      <w:r>
        <w:rPr>
          <w:rFonts w:eastAsia="Times New Roman" w:cs="Times New Roman" w:ascii="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rPr>
          <w:rFonts w:ascii="Times New Roman" w:hAnsi="Times New Roman" w:eastAsia="Times New Roman" w:cs="Times New Roman"/>
          <w:b/>
          <w:b/>
          <w:sz w:val="24"/>
          <w:szCs w:val="20"/>
        </w:rPr>
      </w:pPr>
      <w:r>
        <w:rPr>
          <w:rFonts w:eastAsia="Times New Roman" w:cs="Times New Roman" w:ascii="Times New Roman" w:hAnsi="Times New Roman"/>
          <w:b/>
          <w:sz w:val="24"/>
          <w:szCs w:val="20"/>
        </w:rPr>
      </w:r>
    </w:p>
    <w:p>
      <w:pPr>
        <w:pStyle w:val="ListParagraph"/>
        <w:numPr>
          <w:ilvl w:val="0"/>
          <w:numId w:val="0"/>
        </w:numPr>
        <w:spacing w:lineRule="auto" w:line="240" w:before="0" w:after="0"/>
        <w:ind w:left="360" w:hanging="0"/>
        <w:contextualSpacing/>
        <w:rPr>
          <w:sz w:val="20"/>
          <w:szCs w:val="20"/>
        </w:rPr>
      </w:pPr>
      <w:r>
        <w:rPr>
          <w:rFonts w:eastAsia="Times New Roman" w:cs="Times New Roman" w:ascii="Times New Roman" w:hAnsi="Times New Roman"/>
          <w:b/>
          <w:sz w:val="20"/>
          <w:szCs w:val="20"/>
          <w:lang w:val="uk-UA"/>
        </w:rPr>
        <w:t xml:space="preserve">3.1 </w:t>
      </w:r>
      <w:r>
        <w:rPr>
          <w:rFonts w:eastAsia="Times New Roman" w:cs="Times New Roman" w:ascii="Times New Roman" w:hAnsi="Times New Roman"/>
          <w:b/>
          <w:sz w:val="20"/>
          <w:szCs w:val="20"/>
        </w:rPr>
        <w:t>Документи, які надаються  ПЕРЕМОЖЦЕМ (юридичною особою):</w:t>
      </w:r>
    </w:p>
    <w:p>
      <w:pPr>
        <w:pStyle w:val="Normal"/>
        <w:spacing w:lineRule="auto" w:line="240" w:before="0" w:after="0"/>
        <w:jc w:val="center"/>
        <w:rPr>
          <w:rFonts w:ascii="Times New Roman" w:hAnsi="Times New Roman" w:eastAsia="Times New Roman" w:cs="Times New Roman"/>
          <w:b/>
          <w:b/>
          <w:color w:val="000000"/>
          <w:sz w:val="24"/>
          <w:szCs w:val="20"/>
        </w:rPr>
      </w:pPr>
      <w:r>
        <w:rPr>
          <w:rFonts w:eastAsia="Times New Roman" w:cs="Times New Roman" w:ascii="Times New Roman" w:hAnsi="Times New Roman"/>
          <w:b/>
          <w:color w:val="000000"/>
          <w:sz w:val="24"/>
          <w:szCs w:val="20"/>
        </w:rPr>
      </w:r>
    </w:p>
    <w:tbl>
      <w:tblPr>
        <w:tblW w:w="9770" w:type="dxa"/>
        <w:jc w:val="left"/>
        <w:tblInd w:w="-260" w:type="dxa"/>
        <w:tblCellMar>
          <w:top w:w="100" w:type="dxa"/>
          <w:left w:w="100" w:type="dxa"/>
          <w:bottom w:w="100" w:type="dxa"/>
          <w:right w:w="100" w:type="dxa"/>
        </w:tblCellMar>
        <w:tblLook w:firstRow="0" w:noVBand="1" w:lastRow="0" w:firstColumn="0" w:lastColumn="0" w:noHBand="0" w:val="0400"/>
      </w:tblPr>
      <w:tblGrid>
        <w:gridCol w:w="703"/>
        <w:gridCol w:w="4558"/>
        <w:gridCol w:w="4509"/>
      </w:tblGrid>
      <w:tr>
        <w:trPr>
          <w:trHeight w:val="905" w:hRule="atLeast"/>
        </w:trPr>
        <w:tc>
          <w:tcPr>
            <w:tcW w:w="703"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pPr>
            <w:r>
              <w:rPr>
                <w:rFonts w:eastAsia="Times New Roman" w:cs="Times New Roman" w:ascii="Times New Roman" w:hAnsi="Times New Roman"/>
                <w:b/>
                <w:color w:val="000000"/>
                <w:sz w:val="20"/>
                <w:szCs w:val="20"/>
              </w:rPr>
              <w:t>№</w:t>
            </w:r>
          </w:p>
          <w:p>
            <w:pPr>
              <w:pStyle w:val="Normal"/>
              <w:spacing w:lineRule="auto" w:line="240" w:before="0" w:after="0"/>
              <w:ind w:left="100" w:hanging="0"/>
              <w:jc w:val="center"/>
              <w:rPr/>
            </w:pPr>
            <w:r>
              <w:rPr>
                <w:rFonts w:eastAsia="Times New Roman" w:cs="Times New Roman" w:ascii="Times New Roman" w:hAnsi="Times New Roman"/>
                <w:b/>
                <w:color w:val="000000"/>
                <w:sz w:val="20"/>
                <w:szCs w:val="20"/>
              </w:rPr>
              <w:t>п/п</w:t>
            </w:r>
          </w:p>
        </w:tc>
        <w:tc>
          <w:tcPr>
            <w:tcW w:w="4558"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both"/>
              <w:rPr/>
            </w:pPr>
            <w:r>
              <w:rPr>
                <w:rFonts w:eastAsia="Times New Roman" w:cs="Times New Roman" w:ascii="Times New Roman" w:hAnsi="Times New Roman"/>
                <w:b/>
                <w:sz w:val="20"/>
                <w:szCs w:val="20"/>
              </w:rPr>
              <w:t xml:space="preserve">Вимоги </w:t>
            </w:r>
            <w:r>
              <w:rPr>
                <w:rFonts w:eastAsia="Times New Roman" w:cs="Times New Roman" w:ascii="Times New Roman" w:hAnsi="Times New Roman"/>
                <w:sz w:val="20"/>
                <w:szCs w:val="20"/>
              </w:rPr>
              <w:t xml:space="preserve">згідно пункту 47 Особливостей </w:t>
            </w:r>
          </w:p>
        </w:tc>
        <w:tc>
          <w:tcPr>
            <w:tcW w:w="4509"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both"/>
              <w:rPr/>
            </w:pPr>
            <w:r>
              <w:rPr>
                <w:rFonts w:eastAsia="Times New Roman" w:cs="Times New Roman" w:ascii="Times New Roman" w:hAnsi="Times New Roman"/>
                <w:b/>
                <w:sz w:val="20"/>
                <w:szCs w:val="20"/>
              </w:rPr>
              <w:t xml:space="preserve">Переможець торгів на виконання вимоги </w:t>
            </w:r>
            <w:r>
              <w:rPr>
                <w:rFonts w:eastAsia="Times New Roman" w:cs="Times New Roman" w:ascii="Times New Roman" w:hAnsi="Times New Roman"/>
                <w:sz w:val="20"/>
                <w:szCs w:val="20"/>
              </w:rPr>
              <w:t>згідно пункту 47 Особливостей*</w:t>
            </w:r>
            <w:r>
              <w:rPr>
                <w:rFonts w:eastAsia="Times New Roman" w:cs="Times New Roman" w:ascii="Times New Roman" w:hAnsi="Times New Roman"/>
                <w:b/>
                <w:sz w:val="20"/>
                <w:szCs w:val="20"/>
              </w:rPr>
              <w:t xml:space="preserve"> (підтвердження відсутності підстав) повинен надати таку інформацію:</w:t>
            </w:r>
          </w:p>
        </w:tc>
      </w:tr>
      <w:tr>
        <w:trPr>
          <w:trHeight w:val="1723" w:hRule="atLeast"/>
        </w:trPr>
        <w:tc>
          <w:tcPr>
            <w:tcW w:w="703"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pPr>
            <w:r>
              <w:rPr>
                <w:rFonts w:eastAsia="Times New Roman" w:cs="Times New Roman" w:ascii="Times New Roman" w:hAnsi="Times New Roman"/>
                <w:b/>
                <w:color w:val="000000"/>
                <w:sz w:val="20"/>
                <w:szCs w:val="20"/>
              </w:rPr>
              <w:t>1</w:t>
            </w:r>
          </w:p>
        </w:tc>
        <w:tc>
          <w:tcPr>
            <w:tcW w:w="4558"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120" w:after="0"/>
              <w:jc w:val="both"/>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jc w:val="both"/>
              <w:rPr/>
            </w:pPr>
            <w:r>
              <w:rPr>
                <w:rFonts w:eastAsia="Times New Roman" w:cs="Times New Roman" w:ascii="Times New Roman" w:hAnsi="Times New Roman"/>
                <w:b/>
                <w:sz w:val="20"/>
                <w:szCs w:val="20"/>
              </w:rPr>
              <w:t>(підпункт 3 пункт 47 Особливостей)</w:t>
            </w:r>
          </w:p>
        </w:tc>
        <w:tc>
          <w:tcPr>
            <w:tcW w:w="4509"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right="140" w:hanging="0"/>
              <w:jc w:val="both"/>
              <w:rPr/>
            </w:pPr>
            <w:r>
              <w:rPr>
                <w:rFonts w:eastAsia="Times New Roman" w:cs="Times New Roman" w:ascii="Times New Roman" w:hAnsi="Times New Roman"/>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03"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pPr>
            <w:r>
              <w:rPr>
                <w:rFonts w:eastAsia="Times New Roman" w:cs="Times New Roman" w:ascii="Times New Roman" w:hAnsi="Times New Roman"/>
                <w:b/>
                <w:color w:val="000000"/>
                <w:sz w:val="20"/>
                <w:szCs w:val="20"/>
              </w:rPr>
              <w:t>2</w:t>
            </w:r>
          </w:p>
        </w:tc>
        <w:tc>
          <w:tcPr>
            <w:tcW w:w="4558"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120" w:after="0"/>
              <w:jc w:val="both"/>
              <w:rPr/>
            </w:pPr>
            <w:r>
              <w:rPr>
                <w:rFonts w:eastAsia="Times New Roman" w:cs="Times New Roman" w:ascii="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spacing w:lineRule="auto" w:line="240" w:before="0" w:after="0"/>
              <w:ind w:right="140" w:hanging="0"/>
              <w:jc w:val="both"/>
              <w:rPr/>
            </w:pPr>
            <w:r>
              <w:rPr>
                <w:rFonts w:eastAsia="Times New Roman" w:cs="Times New Roman" w:ascii="Times New Roman" w:hAnsi="Times New Roman"/>
                <w:sz w:val="20"/>
                <w:szCs w:val="20"/>
              </w:rPr>
              <w:t>(підпункт 6 пункт 47 Особливостей)</w:t>
            </w:r>
          </w:p>
        </w:tc>
        <w:tc>
          <w:tcPr>
            <w:tcW w:w="4509" w:type="dxa"/>
            <w:vMerge w:val="restart"/>
            <w:tcBorders>
              <w:top w:val="single" w:sz="8" w:space="0" w:color="000000"/>
              <w:left w:val="single" w:sz="8" w:space="0" w:color="000000"/>
              <w:right w:val="single" w:sz="8" w:space="0" w:color="000000"/>
            </w:tcBorders>
            <w:shd w:fill="auto" w:val="clear"/>
          </w:tcPr>
          <w:p>
            <w:pPr>
              <w:pStyle w:val="Normal"/>
              <w:spacing w:lineRule="auto" w:line="240" w:before="0" w:after="0"/>
              <w:jc w:val="both"/>
              <w:rPr/>
            </w:pPr>
            <w:r>
              <w:rPr>
                <w:rFonts w:eastAsia="Times New Roman" w:cs="Times New Roman" w:ascii="Times New Roman" w:hAnsi="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pPr>
              <w:pStyle w:val="Normal"/>
              <w:spacing w:lineRule="auto" w:line="240" w:before="0" w:after="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spacing w:lineRule="auto" w:line="240" w:before="0" w:after="0"/>
              <w:jc w:val="both"/>
              <w:rPr/>
            </w:pPr>
            <w:r>
              <w:rPr>
                <w:rFonts w:eastAsia="Times New Roman" w:cs="Times New Roman" w:ascii="Times New Roman" w:hAnsi="Times New Roman"/>
                <w:color w:val="000000"/>
                <w:sz w:val="20"/>
                <w:szCs w:val="20"/>
              </w:rPr>
              <w:t>Документ повинен бути не більше тридцятиденної давнини від дати подання документа.</w:t>
            </w:r>
          </w:p>
        </w:tc>
      </w:tr>
      <w:tr>
        <w:trPr>
          <w:trHeight w:val="2356" w:hRule="atLeast"/>
        </w:trPr>
        <w:tc>
          <w:tcPr>
            <w:tcW w:w="703"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pPr>
            <w:r>
              <w:rPr>
                <w:rFonts w:eastAsia="Times New Roman" w:cs="Times New Roman" w:ascii="Times New Roman" w:hAnsi="Times New Roman"/>
                <w:b/>
                <w:color w:val="000000"/>
                <w:sz w:val="20"/>
                <w:szCs w:val="20"/>
              </w:rPr>
              <w:t>3</w:t>
            </w:r>
          </w:p>
        </w:tc>
        <w:tc>
          <w:tcPr>
            <w:tcW w:w="4558"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120" w:after="0"/>
              <w:jc w:val="both"/>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ind w:left="100" w:hanging="0"/>
              <w:jc w:val="both"/>
              <w:rPr/>
            </w:pPr>
            <w:r>
              <w:rPr>
                <w:rFonts w:eastAsia="Times New Roman" w:cs="Times New Roman" w:ascii="Times New Roman" w:hAnsi="Times New Roman"/>
                <w:b/>
                <w:sz w:val="20"/>
                <w:szCs w:val="20"/>
              </w:rPr>
              <w:t>(підпункт 12 пункт 47 Особливостей)</w:t>
            </w:r>
          </w:p>
        </w:tc>
        <w:tc>
          <w:tcPr>
            <w:tcW w:w="4509" w:type="dxa"/>
            <w:vMerge w:val="continue"/>
            <w:tcBorders>
              <w:top w:val="single" w:sz="8" w:space="0" w:color="000000"/>
              <w:left w:val="single" w:sz="8" w:space="0" w:color="000000"/>
              <w:right w:val="single" w:sz="8" w:space="0" w:color="000000"/>
            </w:tcBorders>
            <w:shd w:fill="auto" w:val="clear"/>
          </w:tcPr>
          <w:p>
            <w:pPr>
              <w:pStyle w:val="Normal"/>
              <w:widowControl w:val="false"/>
              <w:spacing w:lineRule="auto" w:line="276"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862" w:hRule="atLeast"/>
        </w:trPr>
        <w:tc>
          <w:tcPr>
            <w:tcW w:w="703"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pPr>
            <w:r>
              <w:rPr>
                <w:rFonts w:eastAsia="Times New Roman" w:cs="Times New Roman" w:ascii="Times New Roman" w:hAnsi="Times New Roman"/>
                <w:b/>
                <w:sz w:val="20"/>
                <w:szCs w:val="20"/>
              </w:rPr>
              <w:t>4</w:t>
            </w:r>
          </w:p>
        </w:tc>
        <w:tc>
          <w:tcPr>
            <w:tcW w:w="4558"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jc w:val="both"/>
              <w:rPr/>
            </w:pPr>
            <w:r>
              <w:rPr>
                <w:rFonts w:eastAsia="Times New Roman" w:cs="Times New Roman"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spacing w:lineRule="auto" w:line="240" w:before="0" w:after="0"/>
              <w:jc w:val="both"/>
              <w:rPr/>
            </w:pPr>
            <w:r>
              <w:rPr>
                <w:rFonts w:eastAsia="Times New Roman" w:cs="Times New Roman" w:ascii="Times New Roman" w:hAnsi="Times New Roman"/>
                <w:b/>
                <w:sz w:val="20"/>
                <w:szCs w:val="20"/>
              </w:rPr>
              <w:t>(абзац 14 пункт 47 Особливостей)</w:t>
            </w:r>
          </w:p>
        </w:tc>
        <w:tc>
          <w:tcPr>
            <w:tcW w:w="4509"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348"/>
              <w:jc w:val="both"/>
              <w:rPr/>
            </w:pPr>
            <w:r>
              <w:rPr>
                <w:rFonts w:eastAsia="Times New Roman" w:cs="Times New Roman" w:ascii="Times New Roman" w:hAnsi="Times New Roman"/>
                <w:b/>
                <w:sz w:val="20"/>
                <w:szCs w:val="20"/>
              </w:rPr>
              <w:t>Довідка в довільній формі</w:t>
            </w:r>
            <w:r>
              <w:rPr>
                <w:rFonts w:eastAsia="Times New Roman" w:cs="Times New Roman"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pacing w:lineRule="auto" w:line="240" w:before="240" w:after="0"/>
        <w:jc w:val="center"/>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240" w:after="0"/>
        <w:jc w:val="center"/>
        <w:rPr>
          <w:sz w:val="20"/>
          <w:szCs w:val="20"/>
        </w:rPr>
      </w:pPr>
      <w:r>
        <w:rPr>
          <w:rFonts w:eastAsia="Times New Roman" w:cs="Times New Roman" w:ascii="Times New Roman" w:hAnsi="Times New Roman"/>
          <w:b/>
          <w:sz w:val="20"/>
          <w:szCs w:val="20"/>
          <w:lang w:val="uk-UA"/>
        </w:rPr>
        <w:t xml:space="preserve">3.2 </w:t>
      </w:r>
      <w:r>
        <w:rPr>
          <w:rFonts w:eastAsia="Times New Roman" w:cs="Times New Roman" w:ascii="Times New Roman" w:hAnsi="Times New Roman"/>
          <w:b/>
          <w:sz w:val="20"/>
          <w:szCs w:val="20"/>
        </w:rPr>
        <w:t>Документи, які надаються ПЕРЕМОЖЦЕМ (фізичною особою чи фізичною особою-підприємцем):</w:t>
      </w:r>
    </w:p>
    <w:tbl>
      <w:tblPr>
        <w:tblW w:w="9619" w:type="dxa"/>
        <w:jc w:val="left"/>
        <w:tblInd w:w="-108" w:type="dxa"/>
        <w:tblCellMar>
          <w:top w:w="100" w:type="dxa"/>
          <w:left w:w="100" w:type="dxa"/>
          <w:bottom w:w="100" w:type="dxa"/>
          <w:right w:w="100" w:type="dxa"/>
        </w:tblCellMar>
        <w:tblLook w:firstRow="0" w:noVBand="1" w:lastRow="0" w:firstColumn="0" w:lastColumn="0" w:noHBand="0" w:val="0400"/>
      </w:tblPr>
      <w:tblGrid>
        <w:gridCol w:w="580"/>
        <w:gridCol w:w="4427"/>
        <w:gridCol w:w="4612"/>
      </w:tblGrid>
      <w:tr>
        <w:trPr>
          <w:trHeight w:val="756" w:hRule="atLeast"/>
        </w:trPr>
        <w:tc>
          <w:tcPr>
            <w:tcW w:w="580"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pPr>
            <w:r>
              <w:rPr>
                <w:rFonts w:eastAsia="Times New Roman" w:cs="Times New Roman" w:ascii="Times New Roman" w:hAnsi="Times New Roman"/>
                <w:b/>
                <w:color w:val="000000"/>
                <w:sz w:val="20"/>
                <w:szCs w:val="20"/>
              </w:rPr>
              <w:t>№</w:t>
            </w:r>
          </w:p>
          <w:p>
            <w:pPr>
              <w:pStyle w:val="Normal"/>
              <w:spacing w:lineRule="auto" w:line="240" w:before="0" w:after="0"/>
              <w:ind w:left="100" w:hanging="0"/>
              <w:jc w:val="center"/>
              <w:rPr/>
            </w:pPr>
            <w:r>
              <w:rPr>
                <w:rFonts w:eastAsia="Times New Roman" w:cs="Times New Roman" w:ascii="Times New Roman" w:hAnsi="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both"/>
              <w:rPr/>
            </w:pPr>
            <w:r>
              <w:rPr>
                <w:rFonts w:eastAsia="Times New Roman" w:cs="Times New Roman" w:ascii="Times New Roman" w:hAnsi="Times New Roman"/>
                <w:b/>
                <w:sz w:val="20"/>
                <w:szCs w:val="20"/>
              </w:rPr>
              <w:t xml:space="preserve">Вимоги </w:t>
            </w:r>
            <w:r>
              <w:rPr>
                <w:rFonts w:eastAsia="Times New Roman" w:cs="Times New Roman" w:ascii="Times New Roman" w:hAnsi="Times New Roman"/>
                <w:sz w:val="20"/>
                <w:szCs w:val="20"/>
              </w:rPr>
              <w:t xml:space="preserve">згідно пункту 47 Особливостей </w:t>
            </w:r>
          </w:p>
        </w:tc>
        <w:tc>
          <w:tcPr>
            <w:tcW w:w="461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both"/>
              <w:rPr/>
            </w:pPr>
            <w:r>
              <w:rPr>
                <w:rFonts w:eastAsia="Times New Roman" w:cs="Times New Roman" w:ascii="Times New Roman" w:hAnsi="Times New Roman"/>
                <w:b/>
                <w:sz w:val="20"/>
                <w:szCs w:val="20"/>
              </w:rPr>
              <w:t xml:space="preserve">Переможець торгів на виконання вимоги </w:t>
            </w:r>
            <w:r>
              <w:rPr>
                <w:rFonts w:eastAsia="Times New Roman" w:cs="Times New Roman" w:ascii="Times New Roman" w:hAnsi="Times New Roman"/>
                <w:sz w:val="20"/>
                <w:szCs w:val="20"/>
              </w:rPr>
              <w:t>згідно пункту 47 Особливостей*</w:t>
            </w:r>
            <w:r>
              <w:rPr>
                <w:rFonts w:eastAsia="Times New Roman" w:cs="Times New Roman" w:ascii="Times New Roman" w:hAnsi="Times New Roman"/>
                <w:b/>
                <w:sz w:val="20"/>
                <w:szCs w:val="20"/>
              </w:rPr>
              <w:t xml:space="preserve"> (підтвердження відсутності підстав) повинен надати таку інформацію:</w:t>
            </w:r>
          </w:p>
        </w:tc>
      </w:tr>
      <w:tr>
        <w:trPr>
          <w:trHeight w:val="1723" w:hRule="atLeast"/>
        </w:trPr>
        <w:tc>
          <w:tcPr>
            <w:tcW w:w="580"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pPr>
            <w:r>
              <w:rPr>
                <w:rFonts w:eastAsia="Times New Roman" w:cs="Times New Roman" w:ascii="Times New Roman" w:hAnsi="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120" w:after="0"/>
              <w:jc w:val="both"/>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jc w:val="both"/>
              <w:rPr/>
            </w:pPr>
            <w:r>
              <w:rPr>
                <w:rFonts w:eastAsia="Times New Roman" w:cs="Times New Roman" w:ascii="Times New Roman" w:hAnsi="Times New Roman"/>
                <w:b/>
                <w:sz w:val="20"/>
                <w:szCs w:val="20"/>
              </w:rPr>
              <w:t>(підпункт 3 пункт 47 Особливостей)</w:t>
            </w:r>
          </w:p>
        </w:tc>
        <w:tc>
          <w:tcPr>
            <w:tcW w:w="461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right="140" w:hanging="0"/>
              <w:jc w:val="both"/>
              <w:rPr/>
            </w:pPr>
            <w:r>
              <w:rPr>
                <w:rFonts w:eastAsia="Times New Roman" w:cs="Times New Roman" w:ascii="Times New Roman" w:hAnsi="Times New Roman"/>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80"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pPr>
            <w:r>
              <w:rPr>
                <w:rFonts w:eastAsia="Times New Roman" w:cs="Times New Roman" w:ascii="Times New Roman" w:hAnsi="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120" w:after="0"/>
              <w:jc w:val="both"/>
              <w:rPr/>
            </w:pPr>
            <w:r>
              <w:rPr>
                <w:rFonts w:eastAsia="Times New Roman" w:cs="Times New Roman" w:ascii="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120" w:after="0"/>
              <w:jc w:val="both"/>
              <w:rPr/>
            </w:pPr>
            <w:r>
              <w:rPr>
                <w:rFonts w:eastAsia="Times New Roman" w:cs="Times New Roman" w:ascii="Times New Roman" w:hAnsi="Times New Roman"/>
                <w:b/>
                <w:sz w:val="20"/>
                <w:szCs w:val="20"/>
              </w:rPr>
              <w:t>(підпункт 5 пункт 47 Особливостей)</w:t>
            </w:r>
          </w:p>
        </w:tc>
        <w:tc>
          <w:tcPr>
            <w:tcW w:w="4612" w:type="dxa"/>
            <w:vMerge w:val="restart"/>
            <w:tcBorders>
              <w:top w:val="single" w:sz="8" w:space="0" w:color="000000"/>
              <w:left w:val="single" w:sz="8" w:space="0" w:color="000000"/>
              <w:right w:val="single" w:sz="8" w:space="0" w:color="000000"/>
            </w:tcBorders>
            <w:shd w:fill="auto" w:val="clear"/>
          </w:tcPr>
          <w:p>
            <w:pPr>
              <w:pStyle w:val="Normal"/>
              <w:spacing w:lineRule="auto" w:line="240" w:before="0" w:after="0"/>
              <w:jc w:val="both"/>
              <w:rPr/>
            </w:pPr>
            <w:r>
              <w:rPr>
                <w:rFonts w:eastAsia="Times New Roman" w:cs="Times New Roman" w:ascii="Times New Roman" w:hAnsi="Times New Roman"/>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trPr>
          <w:trHeight w:val="1713" w:hRule="atLeast"/>
        </w:trPr>
        <w:tc>
          <w:tcPr>
            <w:tcW w:w="580"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pPr>
            <w:r>
              <w:rPr>
                <w:rFonts w:eastAsia="Times New Roman" w:cs="Times New Roman" w:ascii="Times New Roman" w:hAnsi="Times New Roman"/>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120" w:after="0"/>
              <w:jc w:val="both"/>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ind w:left="100" w:hanging="0"/>
              <w:jc w:val="both"/>
              <w:rPr/>
            </w:pPr>
            <w:r>
              <w:rPr>
                <w:rFonts w:eastAsia="Times New Roman" w:cs="Times New Roman" w:ascii="Times New Roman" w:hAnsi="Times New Roman"/>
                <w:b/>
                <w:sz w:val="20"/>
                <w:szCs w:val="20"/>
              </w:rPr>
              <w:t>(підпункт 12 пункт 47 Особливостей)</w:t>
            </w:r>
          </w:p>
        </w:tc>
        <w:tc>
          <w:tcPr>
            <w:tcW w:w="4612" w:type="dxa"/>
            <w:vMerge w:val="continue"/>
            <w:tcBorders>
              <w:top w:val="single" w:sz="8" w:space="0" w:color="000000"/>
              <w:left w:val="single" w:sz="8" w:space="0" w:color="000000"/>
              <w:right w:val="single" w:sz="8" w:space="0" w:color="000000"/>
            </w:tcBorders>
            <w:shd w:fill="auto" w:val="clear"/>
          </w:tcPr>
          <w:p>
            <w:pPr>
              <w:pStyle w:val="Normal"/>
              <w:widowControl w:val="false"/>
              <w:spacing w:lineRule="auto" w:line="276"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862" w:hRule="atLeast"/>
        </w:trPr>
        <w:tc>
          <w:tcPr>
            <w:tcW w:w="580"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pPr>
            <w:r>
              <w:rPr>
                <w:rFonts w:eastAsia="Times New Roman" w:cs="Times New Roman" w:ascii="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jc w:val="both"/>
              <w:rPr/>
            </w:pPr>
            <w:r>
              <w:rPr>
                <w:rFonts w:eastAsia="Times New Roman" w:cs="Times New Roman"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spacing w:lineRule="auto" w:line="240" w:before="0" w:after="0"/>
              <w:jc w:val="both"/>
              <w:rPr/>
            </w:pPr>
            <w:r>
              <w:rPr>
                <w:rFonts w:eastAsia="Times New Roman" w:cs="Times New Roman" w:ascii="Times New Roman" w:hAnsi="Times New Roman"/>
                <w:b/>
                <w:sz w:val="20"/>
                <w:szCs w:val="20"/>
              </w:rPr>
              <w:t>(абзац 14 пункт 47 Особливостей)</w:t>
            </w:r>
          </w:p>
        </w:tc>
        <w:tc>
          <w:tcPr>
            <w:tcW w:w="461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348"/>
              <w:jc w:val="both"/>
              <w:rPr/>
            </w:pPr>
            <w:r>
              <w:rPr>
                <w:rFonts w:eastAsia="Times New Roman" w:cs="Times New Roman" w:ascii="Times New Roman" w:hAnsi="Times New Roman"/>
                <w:b/>
                <w:sz w:val="20"/>
                <w:szCs w:val="20"/>
              </w:rPr>
              <w:t>Довідка в довільній формі</w:t>
            </w:r>
            <w:r>
              <w:rPr>
                <w:rFonts w:eastAsia="Times New Roman" w:cs="Times New Roman"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pacing w:before="0" w:after="160"/>
        <w:contextualSpacing/>
        <w:rPr>
          <w:rFonts w:ascii="Times New Roman" w:hAnsi="Times New Roman" w:eastAsia="Times New Roman" w:cs="Times New Roman"/>
          <w:b/>
          <w:b/>
          <w:i/>
          <w:i/>
          <w:color w:val="000000"/>
          <w:sz w:val="20"/>
          <w:szCs w:val="20"/>
          <w:highlight w:val="white"/>
        </w:rPr>
      </w:pPr>
      <w:r>
        <w:rPr>
          <w:rFonts w:eastAsia="Times New Roman" w:cs="Times New Roman" w:ascii="Times New Roman" w:hAnsi="Times New Roman"/>
          <w:b/>
          <w:i/>
          <w:color w:val="000000"/>
          <w:sz w:val="20"/>
          <w:szCs w:val="20"/>
          <w:highlight w:val="white"/>
        </w:rPr>
      </w:r>
    </w:p>
    <w:p>
      <w:pPr>
        <w:pStyle w:val="Normal"/>
        <w:shd w:val="clear" w:fill="FFFFFF"/>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p>
      <w:pPr>
        <w:pStyle w:val="Normal"/>
        <w:shd w:val="clear" w:fill="FFFFFF"/>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4. Інша інформація встановлена відповідно до законодавства (для УЧАСНИКІВ </w:t>
      </w:r>
      <w:r>
        <w:rPr>
          <w:rFonts w:eastAsia="Times New Roman" w:cs="Times New Roman" w:ascii="Times New Roman" w:hAnsi="Times New Roman"/>
          <w:b/>
          <w:sz w:val="20"/>
          <w:szCs w:val="20"/>
        </w:rPr>
        <w:t>—</w:t>
      </w:r>
      <w:r>
        <w:rPr>
          <w:rFonts w:eastAsia="Times New Roman" w:cs="Times New Roman" w:ascii="Times New Roman" w:hAnsi="Times New Roman"/>
          <w:b/>
          <w:color w:val="000000"/>
          <w:sz w:val="20"/>
          <w:szCs w:val="20"/>
        </w:rPr>
        <w:t xml:space="preserve"> юридичних осіб, фізичних осіб та фізичних осіб</w:t>
      </w:r>
      <w:r>
        <w:rPr>
          <w:rFonts w:eastAsia="Times New Roman" w:cs="Times New Roman" w:ascii="Times New Roman" w:hAnsi="Times New Roman"/>
          <w:b/>
          <w:sz w:val="20"/>
          <w:szCs w:val="20"/>
        </w:rPr>
        <w:t xml:space="preserve"> — </w:t>
      </w:r>
      <w:r>
        <w:rPr>
          <w:rFonts w:eastAsia="Times New Roman" w:cs="Times New Roman" w:ascii="Times New Roman" w:hAnsi="Times New Roman"/>
          <w:b/>
          <w:color w:val="000000"/>
          <w:sz w:val="20"/>
          <w:szCs w:val="20"/>
        </w:rPr>
        <w:t>підприємців).</w:t>
      </w:r>
    </w:p>
    <w:tbl>
      <w:tblPr>
        <w:tblStyle w:val="Table4"/>
        <w:tblW w:w="9574" w:type="dxa"/>
        <w:jc w:val="left"/>
        <w:tblInd w:w="-55" w:type="dxa"/>
        <w:tblCellMar>
          <w:top w:w="100" w:type="dxa"/>
          <w:left w:w="100" w:type="dxa"/>
          <w:bottom w:w="100" w:type="dxa"/>
          <w:right w:w="100" w:type="dxa"/>
        </w:tblCellMar>
        <w:tblLook w:val="0400"/>
      </w:tblPr>
      <w:tblGrid>
        <w:gridCol w:w="361"/>
        <w:gridCol w:w="9212"/>
      </w:tblGrid>
      <w:tr>
        <w:trPr>
          <w:trHeight w:val="124" w:hRule="atLeast"/>
        </w:trPr>
        <w:tc>
          <w:tcPr>
            <w:tcW w:w="9573" w:type="dxa"/>
            <w:gridSpan w:val="2"/>
            <w:tcBorders>
              <w:top w:val="single" w:sz="8" w:space="0" w:color="000000"/>
              <w:left w:val="single" w:sz="8" w:space="0" w:color="000000"/>
              <w:bottom w:val="single" w:sz="8" w:space="0" w:color="000000"/>
              <w:right w:val="single" w:sz="8" w:space="0" w:color="000000"/>
            </w:tcBorders>
            <w:shd w:fill="CCCCCC" w:val="cle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Інші документи від Учасника:</w:t>
            </w:r>
          </w:p>
        </w:tc>
      </w:tr>
      <w:tr>
        <w:trPr>
          <w:trHeight w:val="807" w:hRule="atLeast"/>
        </w:trPr>
        <w:tc>
          <w:tcPr>
            <w:tcW w:w="361"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1</w:t>
            </w:r>
          </w:p>
        </w:tc>
        <w:tc>
          <w:tcPr>
            <w:tcW w:w="921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eastAsia="Times New Roman" w:cs="Times New Roman" w:ascii="Times New Roman" w:hAnsi="Times New Roman"/>
                <w:sz w:val="20"/>
                <w:szCs w:val="20"/>
              </w:rPr>
              <w:t xml:space="preserve">— </w:t>
            </w:r>
            <w:r>
              <w:rPr>
                <w:rFonts w:eastAsia="Times New Roman" w:cs="Times New Roman" w:ascii="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trPr>
          <w:trHeight w:val="580" w:hRule="atLeast"/>
        </w:trPr>
        <w:tc>
          <w:tcPr>
            <w:tcW w:w="361"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240" w:after="0"/>
              <w:ind w:left="100" w:hanging="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2</w:t>
            </w:r>
          </w:p>
        </w:tc>
        <w:tc>
          <w:tcPr>
            <w:tcW w:w="921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right="120" w:hanging="20"/>
              <w:jc w:val="both"/>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Достовірна інформація у вигляді довідки довільної форми, </w:t>
            </w:r>
            <w:r>
              <w:rPr>
                <w:rFonts w:eastAsia="Times New Roman" w:cs="Times New Roman" w:ascii="Times New Roman" w:hAnsi="Times New Roman"/>
                <w:sz w:val="20"/>
                <w:szCs w:val="20"/>
              </w:rPr>
              <w:t>у</w:t>
            </w:r>
            <w:r>
              <w:rPr>
                <w:rFonts w:eastAsia="Times New Roman" w:cs="Times New Roman" w:ascii="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361"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240" w:after="0"/>
              <w:ind w:left="100" w:hanging="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3</w:t>
            </w:r>
          </w:p>
        </w:tc>
        <w:tc>
          <w:tcPr>
            <w:tcW w:w="921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20" w:right="120" w:hanging="2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eastAsia="Times New Roman" w:cs="Times New Roman" w:ascii="Times New Roman" w:hAnsi="Times New Roman"/>
                <w:sz w:val="20"/>
                <w:szCs w:val="20"/>
              </w:rPr>
              <w:t xml:space="preserve"> </w:t>
            </w:r>
            <w:r>
              <w:rPr>
                <w:rFonts w:eastAsia="Times New Roman" w:cs="Times New Roman" w:ascii="Times New Roman" w:hAnsi="Times New Roman"/>
                <w:color w:val="000000"/>
                <w:sz w:val="20"/>
                <w:szCs w:val="20"/>
              </w:rPr>
              <w:t xml:space="preserve">батькові засновника та/або кінцевого бенефіціарного власника, адреса його </w:t>
            </w:r>
            <w:r>
              <w:rPr>
                <w:rFonts w:eastAsia="Times New Roman" w:cs="Times New Roman" w:ascii="Times New Roman" w:hAnsi="Times New Roman"/>
                <w:sz w:val="20"/>
                <w:szCs w:val="20"/>
              </w:rPr>
              <w:t>місця проживання</w:t>
            </w:r>
            <w:r>
              <w:rPr>
                <w:rFonts w:eastAsia="Times New Roman" w:cs="Times New Roman" w:ascii="Times New Roman" w:hAnsi="Times New Roman"/>
                <w:color w:val="000000"/>
                <w:sz w:val="20"/>
                <w:szCs w:val="20"/>
              </w:rPr>
              <w:t xml:space="preserve"> та громадянство.</w:t>
            </w:r>
          </w:p>
          <w:p>
            <w:pPr>
              <w:pStyle w:val="Normal"/>
              <w:spacing w:lineRule="auto" w:line="240" w:before="0" w:after="0"/>
              <w:ind w:left="100" w:right="120" w:hanging="2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Pr>
                <w:rFonts w:eastAsia="Times New Roman" w:cs="Times New Roman" w:ascii="Times New Roman" w:hAnsi="Times New Roman"/>
                <w:i/>
                <w:sz w:val="20"/>
                <w:szCs w:val="20"/>
              </w:rPr>
              <w:t>—</w:t>
            </w:r>
            <w:r>
              <w:rPr>
                <w:rFonts w:eastAsia="Times New Roman" w:cs="Times New Roman" w:ascii="Times New Roman" w:hAnsi="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eastAsia="Times New Roman" w:cs="Times New Roman" w:ascii="Times New Roman" w:hAnsi="Times New Roman"/>
                <w:i/>
                <w:sz w:val="20"/>
                <w:szCs w:val="20"/>
              </w:rPr>
              <w:t>—</w:t>
            </w:r>
            <w:r>
              <w:rPr>
                <w:rFonts w:eastAsia="Times New Roman" w:cs="Times New Roman" w:ascii="Times New Roman" w:hAnsi="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eastAsia="Times New Roman" w:cs="Times New Roman" w:ascii="Times New Roman" w:hAnsi="Times New Roman"/>
                <w:i/>
                <w:sz w:val="20"/>
                <w:szCs w:val="20"/>
              </w:rPr>
              <w:t>—</w:t>
            </w:r>
            <w:r>
              <w:rPr>
                <w:rFonts w:eastAsia="Times New Roman" w:cs="Times New Roman" w:ascii="Times New Roman" w:hAnsi="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eastAsia="Times New Roman" w:cs="Times New Roman" w:ascii="Times New Roman" w:hAnsi="Times New Roman"/>
                <w:i/>
                <w:sz w:val="20"/>
                <w:szCs w:val="20"/>
              </w:rPr>
              <w:t>—</w:t>
            </w:r>
            <w:r>
              <w:rPr>
                <w:rFonts w:eastAsia="Times New Roman" w:cs="Times New Roman" w:ascii="Times New Roman" w:hAnsi="Times New Roman"/>
                <w:i/>
                <w:color w:val="000000"/>
                <w:sz w:val="20"/>
                <w:szCs w:val="20"/>
              </w:rPr>
              <w:t xml:space="preserve"> підприємців та громадських формувань». </w:t>
            </w:r>
          </w:p>
        </w:tc>
      </w:tr>
      <w:tr>
        <w:trPr>
          <w:trHeight w:val="580" w:hRule="atLeast"/>
        </w:trPr>
        <w:tc>
          <w:tcPr>
            <w:tcW w:w="361" w:type="dxa"/>
            <w:tcBorders>
              <w:left w:val="single" w:sz="8" w:space="0" w:color="000000"/>
              <w:bottom w:val="single" w:sz="8" w:space="0" w:color="000000"/>
              <w:right w:val="single" w:sz="8" w:space="0" w:color="000000"/>
            </w:tcBorders>
            <w:shd w:fill="auto" w:val="clear"/>
          </w:tcPr>
          <w:p>
            <w:pPr>
              <w:pStyle w:val="Normal"/>
              <w:spacing w:lineRule="auto" w:line="240" w:before="240" w:after="0"/>
              <w:ind w:left="100" w:hanging="0"/>
              <w:rPr>
                <w:b/>
                <w:b/>
                <w:bCs/>
                <w:lang w:val="en-US"/>
              </w:rPr>
            </w:pPr>
            <w:r>
              <w:rPr>
                <w:b/>
                <w:bCs/>
                <w:lang w:val="en-US"/>
              </w:rPr>
              <w:t>4</w:t>
            </w:r>
          </w:p>
        </w:tc>
        <w:tc>
          <w:tcPr>
            <w:tcW w:w="9212" w:type="dxa"/>
            <w:tcBorders>
              <w:left w:val="single" w:sz="8" w:space="0" w:color="000000"/>
              <w:bottom w:val="single" w:sz="8" w:space="0" w:color="000000"/>
              <w:right w:val="single" w:sz="8" w:space="0" w:color="000000"/>
            </w:tcBorders>
            <w:shd w:fill="auto" w:val="clear"/>
          </w:tcPr>
          <w:p>
            <w:pPr>
              <w:pStyle w:val="Normal"/>
              <w:spacing w:lineRule="auto" w:line="240" w:before="0" w:after="0"/>
              <w:ind w:left="120" w:right="120" w:hanging="20"/>
              <w:jc w:val="both"/>
              <w:rPr>
                <w:b w:val="false"/>
                <w:b w:val="false"/>
                <w:bCs w:val="false"/>
                <w:sz w:val="20"/>
                <w:szCs w:val="20"/>
              </w:rPr>
            </w:pPr>
            <w:r>
              <w:rPr>
                <w:rFonts w:cs="Times New Roman" w:ascii="Times New Roman" w:hAnsi="Times New Roman"/>
                <w:b w:val="false"/>
                <w:bCs w:val="false"/>
                <w:sz w:val="20"/>
                <w:szCs w:val="20"/>
                <w:lang w:val="uk-UA" w:eastAsia="ar-SA"/>
              </w:rPr>
              <w:t>К</w:t>
            </w:r>
            <w:r>
              <w:rPr>
                <w:rFonts w:cs="Times New Roman" w:ascii="Times New Roman" w:hAnsi="Times New Roman"/>
                <w:b w:val="false"/>
                <w:bCs w:val="false"/>
                <w:sz w:val="20"/>
                <w:szCs w:val="20"/>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tc>
      </w:tr>
      <w:tr>
        <w:trPr>
          <w:trHeight w:val="580" w:hRule="atLeast"/>
        </w:trPr>
        <w:tc>
          <w:tcPr>
            <w:tcW w:w="361" w:type="dxa"/>
            <w:tcBorders>
              <w:left w:val="single" w:sz="8" w:space="0" w:color="000000"/>
              <w:bottom w:val="single" w:sz="8" w:space="0" w:color="000000"/>
              <w:right w:val="single" w:sz="8" w:space="0" w:color="000000"/>
            </w:tcBorders>
            <w:shd w:fill="auto" w:val="clear"/>
          </w:tcPr>
          <w:p>
            <w:pPr>
              <w:pStyle w:val="Normal"/>
              <w:spacing w:lineRule="auto" w:line="240" w:before="240" w:after="0"/>
              <w:ind w:left="100" w:hanging="0"/>
              <w:rPr>
                <w:b/>
                <w:b/>
                <w:bCs/>
                <w:lang w:val="uk-UA"/>
              </w:rPr>
            </w:pPr>
            <w:r>
              <w:rPr>
                <w:b/>
                <w:bCs/>
                <w:lang w:val="uk-UA"/>
              </w:rPr>
              <w:t>5</w:t>
            </w:r>
          </w:p>
        </w:tc>
        <w:tc>
          <w:tcPr>
            <w:tcW w:w="9212" w:type="dxa"/>
            <w:tcBorders>
              <w:left w:val="single" w:sz="8" w:space="0" w:color="000000"/>
              <w:bottom w:val="single" w:sz="8" w:space="0" w:color="000000"/>
              <w:right w:val="single" w:sz="8" w:space="0" w:color="000000"/>
            </w:tcBorders>
            <w:shd w:fill="auto" w:val="clear"/>
          </w:tcPr>
          <w:p>
            <w:pPr>
              <w:pStyle w:val="Normal"/>
              <w:widowControl w:val="false"/>
              <w:spacing w:lineRule="auto" w:line="240" w:before="0" w:after="0"/>
              <w:ind w:left="120" w:right="120" w:hanging="20"/>
              <w:jc w:val="both"/>
              <w:rPr>
                <w:b w:val="false"/>
                <w:b w:val="false"/>
                <w:bCs w:val="false"/>
                <w:sz w:val="20"/>
                <w:szCs w:val="20"/>
              </w:rPr>
            </w:pPr>
            <w:r>
              <w:rPr>
                <w:rFonts w:cs="Times New Roman" w:ascii="Times New Roman" w:hAnsi="Times New Roman"/>
                <w:b w:val="false"/>
                <w:bCs/>
                <w:sz w:val="20"/>
                <w:szCs w:val="24"/>
              </w:rPr>
              <w:t>Завірена учасником копія діючого Статуту (у останній редакції) або скан-копію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tc>
      </w:tr>
      <w:tr>
        <w:trPr>
          <w:trHeight w:val="580" w:hRule="atLeast"/>
        </w:trPr>
        <w:tc>
          <w:tcPr>
            <w:tcW w:w="361" w:type="dxa"/>
            <w:tcBorders>
              <w:left w:val="single" w:sz="8" w:space="0" w:color="000000"/>
              <w:bottom w:val="single" w:sz="8" w:space="0" w:color="000000"/>
              <w:right w:val="single" w:sz="8" w:space="0" w:color="000000"/>
            </w:tcBorders>
            <w:shd w:fill="auto" w:val="clear"/>
          </w:tcPr>
          <w:p>
            <w:pPr>
              <w:pStyle w:val="Normal"/>
              <w:spacing w:lineRule="auto" w:line="240" w:before="240" w:after="0"/>
              <w:ind w:left="100" w:hanging="0"/>
              <w:rPr>
                <w:b/>
                <w:b/>
                <w:bCs/>
                <w:lang w:val="uk-UA"/>
              </w:rPr>
            </w:pPr>
            <w:r>
              <w:rPr>
                <w:b/>
                <w:bCs/>
                <w:lang w:val="uk-UA"/>
              </w:rPr>
              <w:t>6</w:t>
            </w:r>
          </w:p>
        </w:tc>
        <w:tc>
          <w:tcPr>
            <w:tcW w:w="9212" w:type="dxa"/>
            <w:tcBorders>
              <w:left w:val="single" w:sz="8" w:space="0" w:color="000000"/>
              <w:bottom w:val="single" w:sz="8" w:space="0" w:color="000000"/>
              <w:right w:val="single" w:sz="8" w:space="0" w:color="000000"/>
            </w:tcBorders>
            <w:shd w:fill="auto" w:val="clear"/>
          </w:tcPr>
          <w:p>
            <w:pPr>
              <w:pStyle w:val="ListParagraph"/>
              <w:widowControl w:val="false"/>
              <w:spacing w:lineRule="auto" w:line="240" w:before="0" w:after="0"/>
              <w:ind w:left="0" w:hanging="0"/>
              <w:contextualSpacing/>
              <w:jc w:val="both"/>
              <w:rPr>
                <w:b w:val="false"/>
                <w:b w:val="false"/>
                <w:bCs w:val="false"/>
                <w:sz w:val="20"/>
                <w:szCs w:val="20"/>
              </w:rPr>
            </w:pPr>
            <w:r>
              <w:rPr>
                <w:rFonts w:cs="Times New Roman" w:ascii="Times New Roman" w:hAnsi="Times New Roman"/>
                <w:b w:val="false"/>
                <w:bCs w:val="false"/>
                <w:sz w:val="20"/>
                <w:szCs w:val="24"/>
              </w:rPr>
              <w:t>Витяг з Єдиного державного реєстру юридичних осіб та фізичних осіб – підприємців (або виписка).</w:t>
            </w:r>
          </w:p>
        </w:tc>
      </w:tr>
      <w:tr>
        <w:trPr>
          <w:trHeight w:val="580" w:hRule="atLeast"/>
        </w:trPr>
        <w:tc>
          <w:tcPr>
            <w:tcW w:w="361" w:type="dxa"/>
            <w:tcBorders>
              <w:left w:val="single" w:sz="8" w:space="0" w:color="000000"/>
              <w:bottom w:val="single" w:sz="8" w:space="0" w:color="000000"/>
              <w:right w:val="single" w:sz="8" w:space="0" w:color="000000"/>
            </w:tcBorders>
            <w:shd w:fill="auto" w:val="clear"/>
          </w:tcPr>
          <w:p>
            <w:pPr>
              <w:pStyle w:val="Normal"/>
              <w:spacing w:lineRule="auto" w:line="240" w:before="240" w:after="0"/>
              <w:ind w:left="100" w:hanging="0"/>
              <w:rPr>
                <w:b/>
                <w:b/>
                <w:bCs/>
                <w:lang w:val="uk-UA"/>
              </w:rPr>
            </w:pPr>
            <w:r>
              <w:rPr>
                <w:b/>
                <w:bCs/>
                <w:lang w:val="uk-UA"/>
              </w:rPr>
              <w:t>4</w:t>
            </w:r>
          </w:p>
        </w:tc>
        <w:tc>
          <w:tcPr>
            <w:tcW w:w="9212" w:type="dxa"/>
            <w:tcBorders>
              <w:left w:val="single" w:sz="8" w:space="0" w:color="000000"/>
              <w:bottom w:val="single" w:sz="8" w:space="0" w:color="000000"/>
              <w:right w:val="single" w:sz="8" w:space="0" w:color="000000"/>
            </w:tcBorders>
            <w:shd w:fill="auto" w:val="clear"/>
          </w:tcPr>
          <w:p>
            <w:pPr>
              <w:pStyle w:val="Normal"/>
              <w:spacing w:lineRule="auto" w:line="240" w:before="0" w:after="0"/>
              <w:ind w:left="140" w:right="140" w:hanging="0"/>
              <w:jc w:val="both"/>
              <w:rPr/>
            </w:pPr>
            <w:r>
              <w:rPr>
                <w:rFonts w:eastAsia="Times New Roman" w:cs="Times New Roman" w:ascii="Times New Roman" w:hAnsi="Times New Roman"/>
                <w:color w:val="000000"/>
                <w:sz w:val="20"/>
                <w:szCs w:val="20"/>
                <w:highlight w:val="white"/>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
              <w:r>
                <w:rPr>
                  <w:rStyle w:val="ListLabel1"/>
                  <w:rFonts w:eastAsia="Times New Roman" w:cs="Times New Roman" w:ascii="Times New Roman" w:hAnsi="Times New Roman"/>
                  <w:color w:val="000000"/>
                  <w:sz w:val="20"/>
                  <w:szCs w:val="20"/>
                  <w:highlight w:val="white"/>
                </w:rPr>
                <w:t>Наказом № 794/21</w:t>
              </w:r>
            </w:hyperlink>
            <w:r>
              <w:rPr>
                <w:rFonts w:eastAsia="Times New Roman" w:cs="Times New Roman" w:ascii="Times New Roman" w:hAnsi="Times New Roman"/>
                <w:color w:val="000000"/>
                <w:sz w:val="20"/>
                <w:szCs w:val="20"/>
                <w:highlight w:val="white"/>
              </w:rPr>
              <w:t>,  та відповідний наказ про затвердження антикорупційної програми та призначення уповноваженого з її реалізації.</w:t>
            </w:r>
          </w:p>
        </w:tc>
      </w:tr>
    </w:tbl>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hd w:val="clear" w:fill="FFFFFF"/>
        <w:spacing w:lineRule="auto" w:line="240" w:before="0" w:after="0"/>
        <w:jc w:val="right"/>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before="0" w:after="0"/>
        <w:rPr/>
      </w:pPr>
      <w:r>
        <w:rPr/>
      </w:r>
    </w:p>
    <w:sectPr>
      <w:type w:val="nextPage"/>
      <w:pgSz w:w="11906" w:h="16838"/>
      <w:pgMar w:left="1417" w:right="850" w:header="0" w:top="850" w:footer="0" w:bottom="85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4"/>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ru-RU" w:eastAsia="zh-CN" w:bidi="hi-IN"/>
      </w:rPr>
    </w:rPrDefault>
    <w:pPrDefault>
      <w:pPr/>
    </w:pPrDefault>
  </w:docDefault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ru-RU" w:eastAsia="zh-CN" w:bidi="hi-IN"/>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semiHidden/>
    <w:unhideWhenUsed/>
    <w:rsid w:val="002c2fd2"/>
    <w:rPr>
      <w:color w:val="0000FF"/>
      <w:u w:val="single"/>
    </w:rPr>
  </w:style>
  <w:style w:type="character" w:styleId="Appletabspan" w:customStyle="1">
    <w:name w:val="apple-tab-span"/>
    <w:basedOn w:val="DefaultParagraphFont"/>
    <w:qFormat/>
    <w:rsid w:val="002c2fd2"/>
    <w:rPr/>
  </w:style>
  <w:style w:type="character" w:styleId="ListLabel1">
    <w:name w:val="ListLabel 1"/>
    <w:qFormat/>
    <w:rPr>
      <w:rFonts w:ascii="Times New Roman" w:hAnsi="Times New Roman" w:eastAsia="Times New Roman" w:cs="Times New Roman"/>
      <w:color w:val="4A86E8"/>
      <w:sz w:val="20"/>
      <w:szCs w:val="20"/>
      <w:highlight w:val="yellow"/>
    </w:rPr>
  </w:style>
  <w:style w:type="character" w:styleId="ListLabel2">
    <w:name w:val="ListLabel 2"/>
    <w:qFormat/>
    <w:rPr>
      <w:rFonts w:ascii="Times New Roman" w:hAnsi="Times New Roman" w:eastAsia="Times New Roman" w:cs="Times New Roman"/>
      <w:color w:val="000000"/>
      <w:sz w:val="20"/>
      <w:szCs w:val="20"/>
      <w:u w:val="single"/>
    </w:rPr>
  </w:style>
  <w:style w:type="character" w:styleId="ListLabel3">
    <w:name w:val="ListLabel 3"/>
    <w:qFormat/>
    <w:rPr>
      <w:rFonts w:ascii="Times New Roman" w:hAnsi="Times New Roman" w:eastAsia="Times New Roman" w:cs="Times New Roman"/>
      <w:color w:val="4A86E8"/>
      <w:sz w:val="20"/>
      <w:szCs w:val="20"/>
      <w:highlight w:val="yellow"/>
    </w:rPr>
  </w:style>
  <w:style w:type="character" w:styleId="ListLabel4">
    <w:name w:val="ListLabel 4"/>
    <w:qFormat/>
    <w:rPr>
      <w:rFonts w:ascii="Times New Roman" w:hAnsi="Times New Roman" w:eastAsia="Times New Roman" w:cs="Times New Roman"/>
      <w:color w:val="000000"/>
      <w:sz w:val="20"/>
      <w:szCs w:val="20"/>
      <w:u w:val="single"/>
    </w:rPr>
  </w:style>
  <w:style w:type="character" w:styleId="ListLabel5">
    <w:name w:val="ListLabel 5"/>
    <w:qFormat/>
    <w:rPr>
      <w:rFonts w:ascii="Times New Roman" w:hAnsi="Times New Roman" w:eastAsia="Times New Roman" w:cs="Times New Roman"/>
      <w:color w:val="000000"/>
      <w:sz w:val="20"/>
      <w:szCs w:val="20"/>
      <w:highlight w:val="white"/>
    </w:rPr>
  </w:style>
  <w:style w:type="character" w:styleId="ListLabel6">
    <w:name w:val="ListLabel 6"/>
    <w:qFormat/>
    <w:rPr>
      <w:rFonts w:ascii="Times New Roman" w:hAnsi="Times New Roman" w:eastAsia="Times New Roman" w:cs="Times New Roman"/>
      <w:color w:val="000000"/>
      <w:sz w:val="20"/>
      <w:szCs w:val="20"/>
      <w:highlight w:val="white"/>
    </w:rPr>
  </w:style>
  <w:style w:type="character" w:styleId="ListLabel7">
    <w:name w:val="ListLabel 7"/>
    <w:qFormat/>
    <w:rPr>
      <w:rFonts w:ascii="Times New Roman" w:hAnsi="Times New Roman" w:eastAsia="Times New Roman" w:cs="Times New Roman"/>
      <w:color w:val="000000"/>
      <w:sz w:val="20"/>
      <w:szCs w:val="20"/>
      <w:highlight w:val="white"/>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Покажчик"/>
    <w:basedOn w:val="Normal"/>
    <w:qFormat/>
    <w:pPr>
      <w:suppressLineNumbers/>
    </w:pPr>
    <w:rPr>
      <w:rFonts w:cs="Arial"/>
    </w:rPr>
  </w:style>
  <w:style w:type="paragraph" w:styleId="LOnormal" w:default="1">
    <w:name w:val="LO-normal"/>
    <w:qFormat/>
    <w:pPr>
      <w:widowControl/>
      <w:bidi w:val="0"/>
      <w:spacing w:lineRule="auto" w:line="259" w:before="0" w:after="160"/>
      <w:jc w:val="left"/>
    </w:pPr>
    <w:rPr>
      <w:rFonts w:ascii="Calibri" w:hAnsi="Calibri" w:eastAsia="Calibri" w:cs="Calibri"/>
      <w:color w:val="auto"/>
      <w:kern w:val="0"/>
      <w:sz w:val="22"/>
      <w:szCs w:val="22"/>
      <w:lang w:val="ru-RU" w:eastAsia="zh-CN" w:bidi="hi-IN"/>
    </w:rPr>
  </w:style>
  <w:style w:type="paragraph" w:styleId="Style14">
    <w:name w:val="Title"/>
    <w:basedOn w:val="Normal"/>
    <w:next w:val="Normal"/>
    <w:qFormat/>
    <w:pPr>
      <w:keepNext w:val="true"/>
      <w:keepLines/>
      <w:spacing w:before="480" w:after="120"/>
    </w:pPr>
    <w:rPr>
      <w:b/>
      <w:sz w:val="72"/>
      <w:szCs w:val="72"/>
    </w:rPr>
  </w:style>
  <w:style w:type="paragraph" w:styleId="NormalWeb">
    <w:name w:val="Normal (Web)"/>
    <w:basedOn w:val="Normal"/>
    <w:uiPriority w:val="99"/>
    <w:unhideWhenUsed/>
    <w:qFormat/>
    <w:rsid w:val="002c2fd2"/>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562e0d"/>
    <w:pPr>
      <w:spacing w:before="0" w:after="160"/>
      <w:ind w:left="720" w:hanging="0"/>
      <w:contextualSpacing/>
    </w:pPr>
    <w:rPr/>
  </w:style>
  <w:style w:type="paragraph" w:styleId="Style15">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adnuk.com.ua/pravova-baza/pro-zatverdzhennia-typovoi-antykoruptsijnoi-prohramy-iurydychnoi-osoby/"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9FTmWFC00XWtkzY8D3qmbIkJ4Sw==">AMUW2mUQBerVG10EwAjLuz/gdGiNxm4qlceixJJNhlXRtgVnXv95xMVaS56wIhM94X56SXEujy1jkH6PW5olY2/XgVhuxtJ/vGnATP2nWd+V2EKau3w0PUO0P0p/25881dhkKsbLugIH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53</TotalTime>
  <Application>Neat_Office/6.2.8.2$Windows_x86 LibreOffice_project/</Application>
  <Pages>3</Pages>
  <Words>1678</Words>
  <Characters>11414</Characters>
  <CharactersWithSpaces>13055</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creator>Кристина Белякова</dc:creator>
  <dc:description/>
  <dc:language>en-US</dc:language>
  <cp:lastModifiedBy/>
  <dcterms:modified xsi:type="dcterms:W3CDTF">2023-09-11T15:08:35Z</dcterms:modified>
  <cp:revision>11</cp:revision>
  <dc:subject/>
  <dc:title/>
</cp:coreProperties>
</file>