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71" w:rsidRPr="00456205" w:rsidRDefault="008D3271" w:rsidP="00456205">
      <w:pPr>
        <w:jc w:val="center"/>
        <w:rPr>
          <w:b/>
        </w:rPr>
      </w:pPr>
      <w:r w:rsidRPr="00456205">
        <w:rPr>
          <w:b/>
        </w:rPr>
        <w:t>Зміни внесені до тендерної документації</w:t>
      </w:r>
    </w:p>
    <w:p w:rsidR="00E4698E" w:rsidRPr="005664A0" w:rsidRDefault="008D3271" w:rsidP="005664A0">
      <w:pPr>
        <w:jc w:val="center"/>
        <w:rPr>
          <w:b/>
          <w:bCs/>
        </w:rPr>
      </w:pPr>
      <w:r w:rsidRPr="00456205">
        <w:rPr>
          <w:b/>
        </w:rPr>
        <w:t xml:space="preserve">щодо закупівлі </w:t>
      </w:r>
      <w:r w:rsidR="00077D44">
        <w:rPr>
          <w:b/>
        </w:rPr>
        <w:t>«</w:t>
      </w:r>
      <w:r w:rsidR="005664A0">
        <w:rPr>
          <w:b/>
          <w:bCs/>
        </w:rPr>
        <w:t xml:space="preserve"> Сметана, йогурт</w:t>
      </w:r>
      <w:r w:rsidR="00077D44">
        <w:rPr>
          <w:b/>
          <w:bCs/>
        </w:rPr>
        <w:t>»</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456205" w:rsidTr="001C416F">
        <w:trPr>
          <w:trHeight w:val="480"/>
        </w:trPr>
        <w:tc>
          <w:tcPr>
            <w:tcW w:w="993" w:type="dxa"/>
            <w:vAlign w:val="center"/>
          </w:tcPr>
          <w:p w:rsidR="00680296" w:rsidRPr="00456205" w:rsidRDefault="00680296" w:rsidP="00456205">
            <w:pPr>
              <w:jc w:val="center"/>
              <w:rPr>
                <w:b/>
                <w:color w:val="000000"/>
              </w:rPr>
            </w:pPr>
            <w:r w:rsidRPr="00456205">
              <w:rPr>
                <w:b/>
                <w:color w:val="000000"/>
              </w:rPr>
              <w:t>№</w:t>
            </w:r>
          </w:p>
          <w:p w:rsidR="00680296" w:rsidRPr="00456205" w:rsidRDefault="00680296" w:rsidP="00456205">
            <w:pPr>
              <w:jc w:val="center"/>
              <w:rPr>
                <w:b/>
                <w:color w:val="000000"/>
              </w:rPr>
            </w:pPr>
            <w:r w:rsidRPr="00456205">
              <w:rPr>
                <w:b/>
                <w:color w:val="000000"/>
              </w:rPr>
              <w:t>з/п</w:t>
            </w:r>
          </w:p>
        </w:tc>
        <w:tc>
          <w:tcPr>
            <w:tcW w:w="1325" w:type="dxa"/>
            <w:vAlign w:val="center"/>
          </w:tcPr>
          <w:p w:rsidR="00680296" w:rsidRPr="00456205" w:rsidRDefault="00680296" w:rsidP="00456205">
            <w:pPr>
              <w:jc w:val="center"/>
              <w:rPr>
                <w:b/>
                <w:color w:val="000000"/>
              </w:rPr>
            </w:pPr>
            <w:r w:rsidRPr="00456205">
              <w:rPr>
                <w:b/>
                <w:color w:val="000000"/>
              </w:rPr>
              <w:t>Пункт ТД</w:t>
            </w:r>
          </w:p>
        </w:tc>
        <w:tc>
          <w:tcPr>
            <w:tcW w:w="7038" w:type="dxa"/>
            <w:vAlign w:val="center"/>
          </w:tcPr>
          <w:p w:rsidR="00680296" w:rsidRPr="00456205" w:rsidRDefault="00680296" w:rsidP="002E1E95">
            <w:pPr>
              <w:jc w:val="center"/>
              <w:rPr>
                <w:b/>
                <w:color w:val="000000"/>
              </w:rPr>
            </w:pPr>
            <w:r w:rsidRPr="00456205">
              <w:rPr>
                <w:b/>
                <w:color w:val="000000"/>
              </w:rPr>
              <w:t xml:space="preserve">редакція від </w:t>
            </w:r>
            <w:r w:rsidR="002E1E95">
              <w:rPr>
                <w:b/>
                <w:color w:val="000000"/>
              </w:rPr>
              <w:t>1</w:t>
            </w:r>
            <w:r w:rsidR="005664A0">
              <w:rPr>
                <w:b/>
                <w:color w:val="000000"/>
              </w:rPr>
              <w:t>8</w:t>
            </w:r>
            <w:r w:rsidRPr="00456205">
              <w:rPr>
                <w:b/>
                <w:color w:val="000000"/>
              </w:rPr>
              <w:t>.</w:t>
            </w:r>
            <w:r w:rsidR="002E1E95">
              <w:rPr>
                <w:b/>
                <w:color w:val="000000"/>
              </w:rPr>
              <w:t>01</w:t>
            </w:r>
            <w:r w:rsidRPr="00456205">
              <w:rPr>
                <w:b/>
                <w:color w:val="000000"/>
              </w:rPr>
              <w:t>.202</w:t>
            </w:r>
            <w:r w:rsidR="002E1E95">
              <w:rPr>
                <w:b/>
                <w:color w:val="000000"/>
              </w:rPr>
              <w:t xml:space="preserve">4 </w:t>
            </w:r>
            <w:r w:rsidR="00930C61" w:rsidRPr="00456205">
              <w:rPr>
                <w:b/>
                <w:color w:val="000000"/>
              </w:rPr>
              <w:t>р.</w:t>
            </w:r>
          </w:p>
        </w:tc>
        <w:tc>
          <w:tcPr>
            <w:tcW w:w="6946" w:type="dxa"/>
            <w:vAlign w:val="center"/>
          </w:tcPr>
          <w:p w:rsidR="00680296" w:rsidRPr="00456205" w:rsidRDefault="00680296" w:rsidP="002E1E95">
            <w:pPr>
              <w:jc w:val="center"/>
              <w:rPr>
                <w:b/>
                <w:color w:val="000000"/>
              </w:rPr>
            </w:pPr>
            <w:r w:rsidRPr="00456205">
              <w:rPr>
                <w:b/>
                <w:color w:val="000000"/>
              </w:rPr>
              <w:t>Зміни від</w:t>
            </w:r>
            <w:r w:rsidR="001C416F" w:rsidRPr="00456205">
              <w:rPr>
                <w:b/>
                <w:color w:val="000000"/>
              </w:rPr>
              <w:t xml:space="preserve"> </w:t>
            </w:r>
            <w:r w:rsidR="002E1E95">
              <w:rPr>
                <w:b/>
                <w:color w:val="000000"/>
              </w:rPr>
              <w:t>2</w:t>
            </w:r>
            <w:r w:rsidR="005664A0">
              <w:rPr>
                <w:b/>
                <w:color w:val="000000"/>
              </w:rPr>
              <w:t>3</w:t>
            </w:r>
            <w:r w:rsidRPr="00456205">
              <w:rPr>
                <w:b/>
                <w:color w:val="000000"/>
              </w:rPr>
              <w:t>.</w:t>
            </w:r>
            <w:r w:rsidR="00670560" w:rsidRPr="00456205">
              <w:rPr>
                <w:b/>
                <w:color w:val="000000"/>
              </w:rPr>
              <w:t>0</w:t>
            </w:r>
            <w:r w:rsidR="005664A0">
              <w:rPr>
                <w:b/>
                <w:color w:val="000000"/>
              </w:rPr>
              <w:t>1</w:t>
            </w:r>
            <w:r w:rsidRPr="00456205">
              <w:rPr>
                <w:b/>
                <w:color w:val="000000"/>
              </w:rPr>
              <w:t>.202</w:t>
            </w:r>
            <w:r w:rsidR="005664A0">
              <w:rPr>
                <w:b/>
                <w:color w:val="000000"/>
              </w:rPr>
              <w:t>4</w:t>
            </w:r>
          </w:p>
        </w:tc>
      </w:tr>
      <w:tr w:rsidR="007E603A" w:rsidRPr="00456205" w:rsidTr="003527BC">
        <w:trPr>
          <w:trHeight w:val="96"/>
        </w:trPr>
        <w:tc>
          <w:tcPr>
            <w:tcW w:w="993" w:type="dxa"/>
            <w:vAlign w:val="center"/>
          </w:tcPr>
          <w:p w:rsidR="007E603A" w:rsidRPr="00456205" w:rsidRDefault="003527BC" w:rsidP="00456205">
            <w:pPr>
              <w:jc w:val="center"/>
              <w:rPr>
                <w:b/>
                <w:bCs/>
              </w:rPr>
            </w:pPr>
            <w:r w:rsidRPr="00456205">
              <w:rPr>
                <w:b/>
                <w:bCs/>
              </w:rPr>
              <w:t>1</w:t>
            </w:r>
          </w:p>
        </w:tc>
        <w:tc>
          <w:tcPr>
            <w:tcW w:w="1325" w:type="dxa"/>
            <w:vAlign w:val="center"/>
          </w:tcPr>
          <w:p w:rsidR="007E603A" w:rsidRPr="00456205" w:rsidRDefault="003527BC" w:rsidP="00456205">
            <w:pPr>
              <w:jc w:val="center"/>
              <w:rPr>
                <w:b/>
                <w:color w:val="000000"/>
              </w:rPr>
            </w:pPr>
            <w:r w:rsidRPr="00456205">
              <w:rPr>
                <w:b/>
                <w:color w:val="000000"/>
              </w:rPr>
              <w:t>П. 1 Розділу 4 ТД</w:t>
            </w:r>
          </w:p>
        </w:tc>
        <w:tc>
          <w:tcPr>
            <w:tcW w:w="7038" w:type="dxa"/>
            <w:vAlign w:val="center"/>
          </w:tcPr>
          <w:p w:rsidR="007E603A" w:rsidRPr="00456205" w:rsidRDefault="003527BC" w:rsidP="002E1E95">
            <w:pPr>
              <w:keepNext/>
              <w:keepLines/>
              <w:contextualSpacing/>
              <w:jc w:val="both"/>
              <w:rPr>
                <w:color w:val="000000"/>
                <w:lang w:eastAsia="ru-RU"/>
              </w:rPr>
            </w:pPr>
            <w:r w:rsidRPr="00456205">
              <w:rPr>
                <w:color w:val="000000"/>
                <w:lang w:eastAsia="ru-RU"/>
              </w:rPr>
              <w:t xml:space="preserve">Кінцевий строк подання тендерних пропозицій – </w:t>
            </w:r>
            <w:r w:rsidR="002E1E95">
              <w:rPr>
                <w:b/>
                <w:color w:val="000000"/>
                <w:lang w:eastAsia="ru-RU"/>
              </w:rPr>
              <w:t>26</w:t>
            </w:r>
            <w:r w:rsidRPr="00456205">
              <w:rPr>
                <w:b/>
                <w:color w:val="000000"/>
                <w:lang w:eastAsia="ru-RU"/>
              </w:rPr>
              <w:t>.0</w:t>
            </w:r>
            <w:r w:rsidR="005664A0">
              <w:rPr>
                <w:b/>
                <w:color w:val="000000"/>
                <w:lang w:eastAsia="ru-RU"/>
              </w:rPr>
              <w:t>1</w:t>
            </w:r>
            <w:r w:rsidRPr="00456205">
              <w:rPr>
                <w:b/>
                <w:color w:val="000000"/>
                <w:lang w:eastAsia="ru-RU"/>
              </w:rPr>
              <w:t>.20</w:t>
            </w:r>
            <w:r w:rsidR="005664A0">
              <w:rPr>
                <w:b/>
                <w:color w:val="000000"/>
                <w:lang w:eastAsia="ru-RU"/>
              </w:rPr>
              <w:t>24</w:t>
            </w:r>
            <w:r w:rsidRPr="00456205">
              <w:rPr>
                <w:b/>
                <w:color w:val="000000"/>
                <w:lang w:eastAsia="ru-RU"/>
              </w:rPr>
              <w:t xml:space="preserve"> року</w:t>
            </w:r>
            <w:r w:rsidRPr="00456205">
              <w:rPr>
                <w:color w:val="000000"/>
                <w:lang w:eastAsia="ru-RU"/>
              </w:rPr>
              <w:t xml:space="preserve"> </w:t>
            </w:r>
          </w:p>
        </w:tc>
        <w:tc>
          <w:tcPr>
            <w:tcW w:w="6946" w:type="dxa"/>
            <w:vAlign w:val="center"/>
          </w:tcPr>
          <w:p w:rsidR="007E603A" w:rsidRPr="00456205" w:rsidRDefault="003527BC" w:rsidP="002E1E95">
            <w:pPr>
              <w:keepNext/>
              <w:keepLines/>
              <w:contextualSpacing/>
              <w:jc w:val="both"/>
              <w:rPr>
                <w:color w:val="000000"/>
                <w:lang w:eastAsia="ru-RU"/>
              </w:rPr>
            </w:pPr>
            <w:r w:rsidRPr="00456205">
              <w:rPr>
                <w:color w:val="000000"/>
                <w:lang w:eastAsia="ru-RU"/>
              </w:rPr>
              <w:t xml:space="preserve">Кінцевий строк подання тендерних пропозицій – </w:t>
            </w:r>
            <w:r w:rsidR="002E1E95">
              <w:rPr>
                <w:b/>
                <w:color w:val="000000"/>
                <w:lang w:eastAsia="ru-RU"/>
              </w:rPr>
              <w:t>28</w:t>
            </w:r>
            <w:bookmarkStart w:id="0" w:name="_GoBack"/>
            <w:bookmarkEnd w:id="0"/>
            <w:r w:rsidRPr="00456205">
              <w:rPr>
                <w:b/>
                <w:color w:val="000000"/>
                <w:lang w:eastAsia="ru-RU"/>
              </w:rPr>
              <w:t>.0</w:t>
            </w:r>
            <w:r w:rsidR="005664A0">
              <w:rPr>
                <w:b/>
                <w:color w:val="000000"/>
                <w:lang w:eastAsia="ru-RU"/>
              </w:rPr>
              <w:t>1</w:t>
            </w:r>
            <w:r w:rsidRPr="00456205">
              <w:rPr>
                <w:b/>
                <w:color w:val="000000"/>
                <w:lang w:eastAsia="ru-RU"/>
              </w:rPr>
              <w:t>.202</w:t>
            </w:r>
            <w:r w:rsidR="005664A0">
              <w:rPr>
                <w:b/>
                <w:color w:val="000000"/>
                <w:lang w:eastAsia="ru-RU"/>
              </w:rPr>
              <w:t>4</w:t>
            </w:r>
            <w:r w:rsidRPr="00456205">
              <w:rPr>
                <w:b/>
                <w:color w:val="000000"/>
                <w:lang w:eastAsia="ru-RU"/>
              </w:rPr>
              <w:t xml:space="preserve"> року</w:t>
            </w:r>
            <w:r w:rsidRPr="00456205">
              <w:rPr>
                <w:color w:val="000000"/>
                <w:lang w:eastAsia="ru-RU"/>
              </w:rPr>
              <w:t xml:space="preserve"> </w:t>
            </w:r>
          </w:p>
        </w:tc>
      </w:tr>
      <w:tr w:rsidR="00985472" w:rsidRPr="00456205" w:rsidTr="003527BC">
        <w:trPr>
          <w:trHeight w:val="96"/>
        </w:trPr>
        <w:tc>
          <w:tcPr>
            <w:tcW w:w="993" w:type="dxa"/>
            <w:vAlign w:val="center"/>
          </w:tcPr>
          <w:p w:rsidR="00985472" w:rsidRPr="00456205" w:rsidRDefault="003527BC" w:rsidP="00456205">
            <w:pPr>
              <w:jc w:val="center"/>
              <w:rPr>
                <w:b/>
                <w:bCs/>
              </w:rPr>
            </w:pPr>
            <w:r w:rsidRPr="00456205">
              <w:rPr>
                <w:b/>
                <w:bCs/>
              </w:rPr>
              <w:t>2</w:t>
            </w:r>
          </w:p>
        </w:tc>
        <w:tc>
          <w:tcPr>
            <w:tcW w:w="1325" w:type="dxa"/>
            <w:vAlign w:val="center"/>
          </w:tcPr>
          <w:p w:rsidR="00985472" w:rsidRPr="00456205" w:rsidRDefault="003527BC" w:rsidP="002E1E95">
            <w:pPr>
              <w:jc w:val="center"/>
              <w:rPr>
                <w:b/>
                <w:color w:val="000000"/>
              </w:rPr>
            </w:pPr>
            <w:r w:rsidRPr="00456205">
              <w:rPr>
                <w:b/>
                <w:color w:val="000000"/>
              </w:rPr>
              <w:t xml:space="preserve">Додаток </w:t>
            </w:r>
            <w:r w:rsidR="002E1E95">
              <w:rPr>
                <w:b/>
                <w:color w:val="000000"/>
              </w:rPr>
              <w:t>1</w:t>
            </w:r>
            <w:r w:rsidRPr="00456205">
              <w:rPr>
                <w:b/>
                <w:color w:val="000000"/>
              </w:rPr>
              <w:t xml:space="preserve"> до ТД</w:t>
            </w:r>
          </w:p>
        </w:tc>
        <w:tc>
          <w:tcPr>
            <w:tcW w:w="7038" w:type="dxa"/>
            <w:vAlign w:val="center"/>
          </w:tcPr>
          <w:p w:rsidR="002E1E95" w:rsidRPr="002E1E95" w:rsidRDefault="002E1E95" w:rsidP="00456205">
            <w:pPr>
              <w:shd w:val="clear" w:color="auto" w:fill="FFFFFF" w:themeFill="background1"/>
              <w:suppressAutoHyphens w:val="0"/>
              <w:contextualSpacing/>
              <w:jc w:val="both"/>
              <w:rPr>
                <w:sz w:val="20"/>
                <w:szCs w:val="20"/>
              </w:rPr>
            </w:pPr>
            <w:r w:rsidRPr="002E1E95">
              <w:rPr>
                <w:b/>
                <w:sz w:val="20"/>
                <w:szCs w:val="20"/>
              </w:rPr>
              <w:t>1.1.3</w:t>
            </w:r>
            <w:r w:rsidRPr="002E1E95">
              <w:rPr>
                <w:sz w:val="20"/>
                <w:szCs w:val="20"/>
              </w:rPr>
              <w:t xml:space="preserve">. 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2E1E95">
              <w:rPr>
                <w:sz w:val="20"/>
                <w:szCs w:val="20"/>
              </w:rPr>
              <w:t>потужностей</w:t>
            </w:r>
            <w:proofErr w:type="spellEnd"/>
            <w:r w:rsidRPr="002E1E95">
              <w:rPr>
                <w:sz w:val="20"/>
                <w:szCs w:val="20"/>
              </w:rPr>
              <w:t xml:space="preserve"> Учасника, які використовуються на стадії зберігання продуктів харчування, з посиланням на особистий реєстраційний номер у Державному реєстрі </w:t>
            </w:r>
            <w:proofErr w:type="spellStart"/>
            <w:r w:rsidRPr="002E1E95">
              <w:rPr>
                <w:sz w:val="20"/>
                <w:szCs w:val="20"/>
              </w:rPr>
              <w:t>потужностей</w:t>
            </w:r>
            <w:proofErr w:type="spellEnd"/>
            <w:r w:rsidRPr="002E1E95">
              <w:rPr>
                <w:sz w:val="20"/>
                <w:szCs w:val="20"/>
              </w:rPr>
              <w:t xml:space="preserve"> операторів ринку із додаванням копії документа, що підтверджує державну реєстрація </w:t>
            </w:r>
            <w:proofErr w:type="spellStart"/>
            <w:r w:rsidRPr="002E1E95">
              <w:rPr>
                <w:sz w:val="20"/>
                <w:szCs w:val="20"/>
              </w:rPr>
              <w:t>потужностей</w:t>
            </w:r>
            <w:proofErr w:type="spellEnd"/>
            <w:r w:rsidRPr="002E1E95">
              <w:rPr>
                <w:sz w:val="20"/>
                <w:szCs w:val="20"/>
              </w:rPr>
              <w:t xml:space="preserve"> компетентним органом. Адреса реєстрації </w:t>
            </w:r>
            <w:proofErr w:type="spellStart"/>
            <w:r w:rsidRPr="002E1E95">
              <w:rPr>
                <w:sz w:val="20"/>
                <w:szCs w:val="20"/>
              </w:rPr>
              <w:t>потужностей</w:t>
            </w:r>
            <w:proofErr w:type="spellEnd"/>
            <w:r w:rsidRPr="002E1E95">
              <w:rPr>
                <w:sz w:val="20"/>
                <w:szCs w:val="20"/>
              </w:rPr>
              <w:t xml:space="preserve"> Учасника повинна відповідати адресі, яка вказується у інформації про наявну матеріально-технічну базу. 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w:t>
            </w:r>
          </w:p>
          <w:p w:rsidR="00985472" w:rsidRPr="00077D44" w:rsidRDefault="002E1E95" w:rsidP="00456205">
            <w:pPr>
              <w:shd w:val="clear" w:color="auto" w:fill="FFFFFF" w:themeFill="background1"/>
              <w:suppressAutoHyphens w:val="0"/>
              <w:contextualSpacing/>
              <w:jc w:val="both"/>
            </w:pPr>
            <w:r w:rsidRPr="002E1E95">
              <w:rPr>
                <w:b/>
                <w:sz w:val="20"/>
                <w:szCs w:val="20"/>
              </w:rPr>
              <w:t xml:space="preserve"> 1.2</w:t>
            </w:r>
            <w:r w:rsidRPr="002E1E95">
              <w:rPr>
                <w:sz w:val="20"/>
                <w:szCs w:val="20"/>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tc>
        <w:tc>
          <w:tcPr>
            <w:tcW w:w="6946" w:type="dxa"/>
            <w:vAlign w:val="center"/>
          </w:tcPr>
          <w:p w:rsidR="002E1E95" w:rsidRPr="003660B2" w:rsidRDefault="002E1E95" w:rsidP="002E1E95">
            <w:pPr>
              <w:jc w:val="both"/>
              <w:rPr>
                <w:sz w:val="20"/>
                <w:szCs w:val="20"/>
                <w:lang w:eastAsia="ru-RU"/>
              </w:rPr>
            </w:pPr>
            <w:r w:rsidRPr="003660B2">
              <w:rPr>
                <w:b/>
                <w:sz w:val="20"/>
                <w:szCs w:val="20"/>
                <w:lang w:eastAsia="ru-RU"/>
              </w:rPr>
              <w:t xml:space="preserve">1.1.3. </w:t>
            </w:r>
            <w:r w:rsidRPr="003660B2">
              <w:rPr>
                <w:sz w:val="20"/>
                <w:szCs w:val="20"/>
                <w:lang w:eastAsia="ru-RU"/>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3660B2">
              <w:rPr>
                <w:sz w:val="20"/>
                <w:szCs w:val="20"/>
                <w:lang w:eastAsia="ru-RU"/>
              </w:rPr>
              <w:t>потужностей</w:t>
            </w:r>
            <w:proofErr w:type="spellEnd"/>
            <w:r w:rsidRPr="003660B2">
              <w:rPr>
                <w:sz w:val="20"/>
                <w:szCs w:val="20"/>
                <w:lang w:eastAsia="ru-RU"/>
              </w:rPr>
              <w:t xml:space="preserve"> Учасника, які використовуються на стадії зберігання продуктів харчування, з посиланням на особистий реєстраційний номер у Державному реєстрі </w:t>
            </w:r>
            <w:proofErr w:type="spellStart"/>
            <w:r w:rsidRPr="003660B2">
              <w:rPr>
                <w:sz w:val="20"/>
                <w:szCs w:val="20"/>
                <w:lang w:eastAsia="ru-RU"/>
              </w:rPr>
              <w:t>потужностей</w:t>
            </w:r>
            <w:proofErr w:type="spellEnd"/>
            <w:r w:rsidRPr="003660B2">
              <w:rPr>
                <w:sz w:val="20"/>
                <w:szCs w:val="20"/>
                <w:lang w:eastAsia="ru-RU"/>
              </w:rPr>
              <w:t xml:space="preserve"> операторів ринку із додаванням копії документа, що підтверджує державну реєстрація </w:t>
            </w:r>
            <w:proofErr w:type="spellStart"/>
            <w:r w:rsidRPr="003660B2">
              <w:rPr>
                <w:sz w:val="20"/>
                <w:szCs w:val="20"/>
                <w:lang w:eastAsia="ru-RU"/>
              </w:rPr>
              <w:t>потужностей</w:t>
            </w:r>
            <w:proofErr w:type="spellEnd"/>
            <w:r w:rsidRPr="003660B2">
              <w:rPr>
                <w:sz w:val="20"/>
                <w:szCs w:val="20"/>
                <w:lang w:eastAsia="ru-RU"/>
              </w:rPr>
              <w:t xml:space="preserve"> компетентним органом. Адреса реєстрації </w:t>
            </w:r>
            <w:proofErr w:type="spellStart"/>
            <w:r w:rsidRPr="003660B2">
              <w:rPr>
                <w:sz w:val="20"/>
                <w:szCs w:val="20"/>
                <w:lang w:eastAsia="ru-RU"/>
              </w:rPr>
              <w:t>потужностей</w:t>
            </w:r>
            <w:proofErr w:type="spellEnd"/>
            <w:r w:rsidRPr="003660B2">
              <w:rPr>
                <w:sz w:val="20"/>
                <w:szCs w:val="20"/>
                <w:lang w:eastAsia="ru-RU"/>
              </w:rPr>
              <w:t xml:space="preserve"> Учасника повинна відповідати адресі, яка вказується у інформації про наявну матеріально-технічну базу. </w:t>
            </w:r>
          </w:p>
          <w:p w:rsidR="002E1E95" w:rsidRPr="003660B2" w:rsidRDefault="002E1E95" w:rsidP="002E1E95">
            <w:pPr>
              <w:jc w:val="both"/>
              <w:rPr>
                <w:sz w:val="20"/>
                <w:szCs w:val="20"/>
                <w:lang w:eastAsia="ru-RU"/>
              </w:rPr>
            </w:pPr>
            <w:r w:rsidRPr="003660B2">
              <w:rPr>
                <w:sz w:val="20"/>
                <w:szCs w:val="20"/>
                <w:lang w:eastAsia="ru-RU"/>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rsidR="002E1E95" w:rsidRPr="003660B2" w:rsidRDefault="002E1E95" w:rsidP="002E1E95">
            <w:pPr>
              <w:jc w:val="both"/>
              <w:rPr>
                <w:sz w:val="20"/>
                <w:szCs w:val="20"/>
                <w:lang w:eastAsia="ru-RU"/>
              </w:rPr>
            </w:pPr>
            <w:r w:rsidRPr="003660B2">
              <w:rPr>
                <w:b/>
                <w:bCs/>
                <w:sz w:val="20"/>
                <w:szCs w:val="20"/>
                <w:lang w:eastAsia="ru-RU"/>
              </w:rPr>
              <w:t>1.1.4.</w:t>
            </w:r>
            <w:r w:rsidRPr="003660B2">
              <w:rPr>
                <w:sz w:val="20"/>
                <w:szCs w:val="20"/>
                <w:lang w:eastAsia="ru-RU"/>
              </w:rPr>
              <w:t xml:space="preserve"> </w:t>
            </w:r>
            <w:r w:rsidRPr="003660B2">
              <w:rPr>
                <w:rFonts w:eastAsia="Arial"/>
                <w:sz w:val="20"/>
                <w:szCs w:val="20"/>
              </w:rPr>
              <w:t xml:space="preserve">Учасник повинен надати копію чинного договору про надання послуг з </w:t>
            </w:r>
            <w:proofErr w:type="spellStart"/>
            <w:r w:rsidRPr="003660B2">
              <w:rPr>
                <w:rFonts w:eastAsia="Arial"/>
                <w:sz w:val="20"/>
                <w:szCs w:val="20"/>
              </w:rPr>
              <w:t>дезинфекційних</w:t>
            </w:r>
            <w:proofErr w:type="spellEnd"/>
            <w:r w:rsidRPr="003660B2">
              <w:rPr>
                <w:rFonts w:eastAsia="Arial"/>
                <w:sz w:val="20"/>
                <w:szCs w:val="20"/>
              </w:rPr>
              <w:t xml:space="preserve"> заходів (</w:t>
            </w:r>
            <w:proofErr w:type="spellStart"/>
            <w:r w:rsidRPr="003660B2">
              <w:rPr>
                <w:rFonts w:eastAsia="Arial"/>
                <w:sz w:val="20"/>
                <w:szCs w:val="20"/>
              </w:rPr>
              <w:t>дезинфекція</w:t>
            </w:r>
            <w:proofErr w:type="spellEnd"/>
            <w:r w:rsidRPr="003660B2">
              <w:rPr>
                <w:rFonts w:eastAsia="Arial"/>
                <w:sz w:val="20"/>
                <w:szCs w:val="20"/>
              </w:rPr>
              <w:t xml:space="preserve">, </w:t>
            </w:r>
            <w:proofErr w:type="spellStart"/>
            <w:r w:rsidRPr="003660B2">
              <w:rPr>
                <w:rFonts w:eastAsia="Arial"/>
                <w:sz w:val="20"/>
                <w:szCs w:val="20"/>
              </w:rPr>
              <w:t>дезинсекція</w:t>
            </w:r>
            <w:proofErr w:type="spellEnd"/>
            <w:r w:rsidRPr="003660B2">
              <w:rPr>
                <w:rFonts w:eastAsia="Arial"/>
                <w:sz w:val="20"/>
                <w:szCs w:val="20"/>
              </w:rPr>
              <w:t xml:space="preserve"> та дератизація) щодо </w:t>
            </w:r>
            <w:r w:rsidRPr="003660B2">
              <w:rPr>
                <w:sz w:val="20"/>
                <w:szCs w:val="20"/>
                <w:lang w:eastAsia="ru-RU"/>
              </w:rPr>
              <w:t xml:space="preserve">складського приміщення учасника, яке вказано у </w:t>
            </w:r>
            <w:r w:rsidRPr="003660B2">
              <w:rPr>
                <w:sz w:val="20"/>
                <w:szCs w:val="20"/>
              </w:rPr>
              <w:t xml:space="preserve">інформації про наявну матеріально-технічну базу, </w:t>
            </w:r>
            <w:r w:rsidRPr="003660B2">
              <w:rPr>
                <w:rFonts w:eastAsia="Arial"/>
                <w:sz w:val="20"/>
                <w:szCs w:val="20"/>
              </w:rPr>
              <w:t xml:space="preserve">та  копії актів надання послуг (виконання робіт) за попередні  3 місяці з дати подання пропозиції, що підтверджують проведення кожного відповідного місяця </w:t>
            </w:r>
            <w:proofErr w:type="spellStart"/>
            <w:r w:rsidRPr="003660B2">
              <w:rPr>
                <w:rFonts w:eastAsia="Arial"/>
                <w:sz w:val="20"/>
                <w:szCs w:val="20"/>
              </w:rPr>
              <w:t>дезинфекційних</w:t>
            </w:r>
            <w:proofErr w:type="spellEnd"/>
            <w:r w:rsidRPr="003660B2">
              <w:rPr>
                <w:rFonts w:eastAsia="Arial"/>
                <w:sz w:val="20"/>
                <w:szCs w:val="20"/>
              </w:rPr>
              <w:t xml:space="preserve"> заходів щодо </w:t>
            </w:r>
            <w:r w:rsidRPr="003660B2">
              <w:rPr>
                <w:sz w:val="20"/>
                <w:szCs w:val="20"/>
                <w:lang w:eastAsia="ru-RU"/>
              </w:rPr>
              <w:t>складського приміщення</w:t>
            </w:r>
          </w:p>
          <w:p w:rsidR="002E1E95" w:rsidRPr="003660B2" w:rsidRDefault="002E1E95" w:rsidP="002E1E95">
            <w:pPr>
              <w:jc w:val="both"/>
              <w:rPr>
                <w:sz w:val="20"/>
                <w:szCs w:val="20"/>
              </w:rPr>
            </w:pPr>
            <w:r w:rsidRPr="003660B2">
              <w:rPr>
                <w:b/>
                <w:sz w:val="20"/>
                <w:szCs w:val="20"/>
              </w:rPr>
              <w:t>1.2</w:t>
            </w:r>
            <w:r w:rsidRPr="003660B2">
              <w:rPr>
                <w:sz w:val="20"/>
                <w:szCs w:val="20"/>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rsidR="00CC4491" w:rsidRPr="00456205" w:rsidRDefault="00CC4491" w:rsidP="00CC4491">
            <w:pPr>
              <w:tabs>
                <w:tab w:val="left" w:pos="711"/>
                <w:tab w:val="left" w:pos="10381"/>
              </w:tabs>
              <w:contextualSpacing/>
              <w:jc w:val="both"/>
            </w:pPr>
          </w:p>
        </w:tc>
      </w:tr>
      <w:tr w:rsidR="002E1E95" w:rsidRPr="00456205" w:rsidTr="002E1E95">
        <w:trPr>
          <w:trHeight w:val="417"/>
        </w:trPr>
        <w:tc>
          <w:tcPr>
            <w:tcW w:w="993" w:type="dxa"/>
            <w:vAlign w:val="center"/>
          </w:tcPr>
          <w:p w:rsidR="002E1E95" w:rsidRPr="00456205" w:rsidRDefault="002E1E95" w:rsidP="00456205">
            <w:pPr>
              <w:jc w:val="center"/>
              <w:rPr>
                <w:b/>
                <w:bCs/>
              </w:rPr>
            </w:pPr>
            <w:r>
              <w:rPr>
                <w:b/>
                <w:bCs/>
              </w:rPr>
              <w:t>3</w:t>
            </w:r>
          </w:p>
        </w:tc>
        <w:tc>
          <w:tcPr>
            <w:tcW w:w="1325" w:type="dxa"/>
            <w:vAlign w:val="center"/>
          </w:tcPr>
          <w:p w:rsidR="002E1E95" w:rsidRPr="00456205" w:rsidRDefault="002E1E95" w:rsidP="002E1E95">
            <w:pPr>
              <w:jc w:val="center"/>
              <w:rPr>
                <w:b/>
                <w:color w:val="000000"/>
              </w:rPr>
            </w:pPr>
            <w:r>
              <w:rPr>
                <w:b/>
                <w:color w:val="000000"/>
              </w:rPr>
              <w:t>Додаток 2 до ТД</w:t>
            </w:r>
          </w:p>
        </w:tc>
        <w:tc>
          <w:tcPr>
            <w:tcW w:w="7038" w:type="dxa"/>
            <w:vAlign w:val="center"/>
          </w:tcPr>
          <w:p w:rsidR="002E1E95" w:rsidRPr="002E1E95" w:rsidRDefault="002E1E95" w:rsidP="00456205">
            <w:pPr>
              <w:shd w:val="clear" w:color="auto" w:fill="FFFFFF" w:themeFill="background1"/>
              <w:suppressAutoHyphens w:val="0"/>
              <w:contextualSpacing/>
              <w:jc w:val="both"/>
              <w:rPr>
                <w:sz w:val="20"/>
                <w:szCs w:val="20"/>
              </w:rPr>
            </w:pPr>
            <w:r w:rsidRPr="002E1E95">
              <w:rPr>
                <w:sz w:val="20"/>
                <w:szCs w:val="20"/>
              </w:rPr>
              <w:t>11. Учасник подає копію чинного договору про послуги з дезінфекції автотранспортних засобів.</w:t>
            </w:r>
          </w:p>
        </w:tc>
        <w:tc>
          <w:tcPr>
            <w:tcW w:w="6946" w:type="dxa"/>
            <w:vAlign w:val="center"/>
          </w:tcPr>
          <w:p w:rsidR="002E1E95" w:rsidRPr="002E1E95" w:rsidRDefault="002E1E95" w:rsidP="002E1E95">
            <w:pPr>
              <w:jc w:val="both"/>
              <w:rPr>
                <w:strike/>
                <w:sz w:val="20"/>
                <w:szCs w:val="20"/>
                <w:lang w:eastAsia="ru-RU"/>
              </w:rPr>
            </w:pPr>
            <w:r w:rsidRPr="002E1E95">
              <w:rPr>
                <w:strike/>
                <w:sz w:val="20"/>
                <w:szCs w:val="20"/>
                <w:lang w:eastAsia="ru-RU"/>
              </w:rPr>
              <w:t>11. Учасник подає копію чинного договору про послуги з дезінфекції автотранспортних засобів.</w:t>
            </w:r>
          </w:p>
        </w:tc>
      </w:tr>
    </w:tbl>
    <w:p w:rsidR="00B31274" w:rsidRPr="00456205" w:rsidRDefault="00B31274" w:rsidP="00456205">
      <w:pPr>
        <w:shd w:val="clear" w:color="auto" w:fill="FFFFFF"/>
        <w:tabs>
          <w:tab w:val="left" w:pos="720"/>
        </w:tabs>
        <w:jc w:val="center"/>
        <w:rPr>
          <w:b/>
          <w:bCs/>
          <w:spacing w:val="1"/>
        </w:rPr>
      </w:pPr>
    </w:p>
    <w:p w:rsidR="00670560" w:rsidRPr="00456205" w:rsidRDefault="00670560" w:rsidP="00456205">
      <w:pPr>
        <w:shd w:val="clear" w:color="auto" w:fill="FFFFFF"/>
        <w:tabs>
          <w:tab w:val="left" w:pos="720"/>
        </w:tabs>
        <w:jc w:val="center"/>
        <w:rPr>
          <w:b/>
          <w:bCs/>
          <w:spacing w:val="1"/>
        </w:rPr>
      </w:pPr>
    </w:p>
    <w:p w:rsidR="00670560" w:rsidRPr="00456205" w:rsidRDefault="00670560" w:rsidP="00456205">
      <w:pPr>
        <w:shd w:val="clear" w:color="auto" w:fill="FFFFFF"/>
        <w:tabs>
          <w:tab w:val="left" w:pos="720"/>
        </w:tabs>
        <w:jc w:val="center"/>
        <w:rPr>
          <w:b/>
          <w:bCs/>
          <w:spacing w:val="1"/>
        </w:rPr>
      </w:pPr>
    </w:p>
    <w:p w:rsidR="00732F4D" w:rsidRPr="00456205" w:rsidRDefault="00732F4D" w:rsidP="00456205">
      <w:pPr>
        <w:shd w:val="clear" w:color="auto" w:fill="FFFFFF"/>
        <w:tabs>
          <w:tab w:val="left" w:pos="720"/>
        </w:tabs>
        <w:jc w:val="center"/>
        <w:rPr>
          <w:b/>
          <w:bCs/>
          <w:spacing w:val="1"/>
        </w:rPr>
      </w:pPr>
    </w:p>
    <w:sectPr w:rsidR="00732F4D" w:rsidRPr="00456205"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1"/>
    <w:rsid w:val="00004C3B"/>
    <w:rsid w:val="000050C0"/>
    <w:rsid w:val="000169E8"/>
    <w:rsid w:val="00021C0A"/>
    <w:rsid w:val="00036258"/>
    <w:rsid w:val="0004036E"/>
    <w:rsid w:val="00051D2D"/>
    <w:rsid w:val="00067B02"/>
    <w:rsid w:val="00077A71"/>
    <w:rsid w:val="00077D44"/>
    <w:rsid w:val="00083059"/>
    <w:rsid w:val="000B0FBF"/>
    <w:rsid w:val="000E306E"/>
    <w:rsid w:val="000F43AD"/>
    <w:rsid w:val="00103B01"/>
    <w:rsid w:val="001138C4"/>
    <w:rsid w:val="0016209F"/>
    <w:rsid w:val="001C0CCB"/>
    <w:rsid w:val="001C416F"/>
    <w:rsid w:val="001F55A0"/>
    <w:rsid w:val="00237659"/>
    <w:rsid w:val="002D2BC5"/>
    <w:rsid w:val="002E1E95"/>
    <w:rsid w:val="002F4232"/>
    <w:rsid w:val="002F54CC"/>
    <w:rsid w:val="00323DFC"/>
    <w:rsid w:val="003510AA"/>
    <w:rsid w:val="003527BC"/>
    <w:rsid w:val="003B4E84"/>
    <w:rsid w:val="003F6CC1"/>
    <w:rsid w:val="004108CC"/>
    <w:rsid w:val="00456205"/>
    <w:rsid w:val="004840AD"/>
    <w:rsid w:val="004924A9"/>
    <w:rsid w:val="004B71E5"/>
    <w:rsid w:val="004E24AC"/>
    <w:rsid w:val="004F1DAA"/>
    <w:rsid w:val="00502010"/>
    <w:rsid w:val="00553016"/>
    <w:rsid w:val="005664A0"/>
    <w:rsid w:val="005E38E8"/>
    <w:rsid w:val="00670560"/>
    <w:rsid w:val="00680296"/>
    <w:rsid w:val="006D0CAA"/>
    <w:rsid w:val="007311E9"/>
    <w:rsid w:val="00732F4D"/>
    <w:rsid w:val="00742AC2"/>
    <w:rsid w:val="00750491"/>
    <w:rsid w:val="0075509B"/>
    <w:rsid w:val="00757E99"/>
    <w:rsid w:val="007A1629"/>
    <w:rsid w:val="007A1ECC"/>
    <w:rsid w:val="007E1044"/>
    <w:rsid w:val="007E603A"/>
    <w:rsid w:val="00815A8A"/>
    <w:rsid w:val="0085496A"/>
    <w:rsid w:val="00870BB2"/>
    <w:rsid w:val="00882FC7"/>
    <w:rsid w:val="008D3271"/>
    <w:rsid w:val="00916334"/>
    <w:rsid w:val="00917E62"/>
    <w:rsid w:val="00930C61"/>
    <w:rsid w:val="00944244"/>
    <w:rsid w:val="00955EAA"/>
    <w:rsid w:val="00960636"/>
    <w:rsid w:val="00985472"/>
    <w:rsid w:val="009C73E1"/>
    <w:rsid w:val="009D29ED"/>
    <w:rsid w:val="009E6795"/>
    <w:rsid w:val="00A24DB4"/>
    <w:rsid w:val="00A27DA2"/>
    <w:rsid w:val="00A27F4C"/>
    <w:rsid w:val="00A80374"/>
    <w:rsid w:val="00A83C45"/>
    <w:rsid w:val="00AA332C"/>
    <w:rsid w:val="00AB5855"/>
    <w:rsid w:val="00AC7304"/>
    <w:rsid w:val="00B228EE"/>
    <w:rsid w:val="00B31274"/>
    <w:rsid w:val="00B37DED"/>
    <w:rsid w:val="00B871AA"/>
    <w:rsid w:val="00B97EF6"/>
    <w:rsid w:val="00BB496E"/>
    <w:rsid w:val="00BE7B00"/>
    <w:rsid w:val="00C7359A"/>
    <w:rsid w:val="00C9049B"/>
    <w:rsid w:val="00C9455C"/>
    <w:rsid w:val="00CA1363"/>
    <w:rsid w:val="00CC4491"/>
    <w:rsid w:val="00CD35F6"/>
    <w:rsid w:val="00CE3061"/>
    <w:rsid w:val="00DC57B4"/>
    <w:rsid w:val="00DE4E7F"/>
    <w:rsid w:val="00E01462"/>
    <w:rsid w:val="00E02FE8"/>
    <w:rsid w:val="00E422BC"/>
    <w:rsid w:val="00E4698E"/>
    <w:rsid w:val="00E6275C"/>
    <w:rsid w:val="00E71699"/>
    <w:rsid w:val="00EA6930"/>
    <w:rsid w:val="00EA71FA"/>
    <w:rsid w:val="00EB2D83"/>
    <w:rsid w:val="00EE479C"/>
    <w:rsid w:val="00EF116D"/>
    <w:rsid w:val="00F32068"/>
    <w:rsid w:val="00FA24BE"/>
    <w:rsid w:val="00FB3765"/>
    <w:rsid w:val="00FC2E09"/>
    <w:rsid w:val="00FE6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886"/>
  <w15:docId w15:val="{32BC4B92-49EB-4F87-B032-1FC82508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2513-7304-466E-BB7D-988954CA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Solomiya</cp:lastModifiedBy>
  <cp:revision>2</cp:revision>
  <cp:lastPrinted>2022-12-13T05:41:00Z</cp:lastPrinted>
  <dcterms:created xsi:type="dcterms:W3CDTF">2024-01-23T16:44:00Z</dcterms:created>
  <dcterms:modified xsi:type="dcterms:W3CDTF">2024-01-23T16:44:00Z</dcterms:modified>
</cp:coreProperties>
</file>