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t>Додаток № 6</w:t>
      </w:r>
    </w:p>
    <w:p>
      <w:pPr>
        <w:pStyle w:val="Normal"/>
        <w:jc w:val="right"/>
        <w:rPr/>
      </w:pPr>
      <w:r>
        <w:rPr/>
        <w:t>до тендерної документації</w:t>
      </w:r>
    </w:p>
    <w:p>
      <w:pPr>
        <w:pStyle w:val="Normal"/>
        <w:jc w:val="right"/>
        <w:rPr>
          <w:b/>
          <w:b/>
          <w:i/>
          <w:i/>
        </w:rPr>
      </w:pPr>
      <w:r>
        <w:rPr>
          <w:b/>
          <w:i/>
        </w:rPr>
      </w:r>
    </w:p>
    <w:p>
      <w:pPr>
        <w:pStyle w:val="Normal"/>
        <w:ind w:firstLine="284"/>
        <w:jc w:val="center"/>
        <w:rPr>
          <w:b/>
          <w:b/>
          <w:iCs/>
        </w:rPr>
      </w:pPr>
      <w:r>
        <w:rPr>
          <w:b/>
          <w:iCs/>
          <w:sz w:val="28"/>
          <w:szCs w:val="28"/>
        </w:rPr>
        <w:t>Кваліфікаційні критерії та перелік документів, що підтверджують інформацію про відповідність учасників  таким критеріям</w:t>
      </w:r>
    </w:p>
    <w:p>
      <w:pPr>
        <w:pStyle w:val="Normal"/>
        <w:keepNext w:val="true"/>
        <w:spacing w:before="240" w:after="0"/>
        <w:jc w:val="center"/>
        <w:rPr>
          <w:b/>
          <w:b/>
          <w:bCs/>
        </w:rPr>
      </w:pPr>
      <w:r>
        <w:rPr>
          <w:b/>
          <w:bCs/>
        </w:rPr>
      </w:r>
    </w:p>
    <w:tbl>
      <w:tblPr>
        <w:tblW w:w="10138" w:type="dxa"/>
        <w:jc w:val="center"/>
        <w:tblInd w:w="0" w:type="dxa"/>
        <w:tblCellMar>
          <w:top w:w="55" w:type="dxa"/>
          <w:left w:w="108" w:type="dxa"/>
          <w:bottom w:w="55" w:type="dxa"/>
          <w:right w:w="108" w:type="dxa"/>
        </w:tblCellMar>
        <w:tblLook w:firstRow="0" w:noVBand="0" w:lastRow="0" w:firstColumn="0" w:lastColumn="0" w:noHBand="0" w:val="0000"/>
      </w:tblPr>
      <w:tblGrid>
        <w:gridCol w:w="3225"/>
        <w:gridCol w:w="6912"/>
      </w:tblGrid>
      <w:tr>
        <w:trPr>
          <w:trHeight w:val="20" w:hRule="atLeast"/>
        </w:trPr>
        <w:tc>
          <w:tcPr>
            <w:tcW w:w="3225" w:type="dxa"/>
            <w:tcBorders>
              <w:top w:val="single" w:sz="4" w:space="0" w:color="000000"/>
              <w:left w:val="single" w:sz="4" w:space="0" w:color="000000"/>
              <w:bottom w:val="single" w:sz="4" w:space="0" w:color="000000"/>
            </w:tcBorders>
          </w:tcPr>
          <w:p>
            <w:pPr>
              <w:pStyle w:val="Normal"/>
              <w:jc w:val="center"/>
              <w:rPr>
                <w:b/>
                <w:b/>
                <w:bCs/>
                <w:sz w:val="20"/>
                <w:szCs w:val="20"/>
                <w:lang w:eastAsia="en-US"/>
              </w:rPr>
            </w:pPr>
            <w:r>
              <w:rPr>
                <w:b/>
                <w:bCs/>
                <w:sz w:val="20"/>
                <w:szCs w:val="20"/>
              </w:rPr>
              <w:t>Кваліфікаційний критерій</w:t>
            </w:r>
          </w:p>
        </w:tc>
        <w:tc>
          <w:tcPr>
            <w:tcW w:w="6912" w:type="dxa"/>
            <w:tcBorders>
              <w:top w:val="single" w:sz="4" w:space="0" w:color="000000"/>
              <w:left w:val="single" w:sz="4" w:space="0" w:color="000000"/>
              <w:bottom w:val="single" w:sz="4" w:space="0" w:color="000000"/>
              <w:right w:val="single" w:sz="4" w:space="0" w:color="000000"/>
            </w:tcBorders>
          </w:tcPr>
          <w:p>
            <w:pPr>
              <w:pStyle w:val="Normal"/>
              <w:jc w:val="center"/>
              <w:rPr>
                <w:b/>
                <w:b/>
                <w:bCs/>
                <w:sz w:val="20"/>
                <w:szCs w:val="20"/>
              </w:rPr>
            </w:pPr>
            <w:r>
              <w:rPr>
                <w:b/>
                <w:bCs/>
                <w:sz w:val="20"/>
                <w:szCs w:val="20"/>
              </w:rPr>
              <w:t xml:space="preserve">Перелік документів </w:t>
            </w:r>
            <w:r>
              <w:rPr>
                <w:b/>
                <w:bCs/>
                <w:sz w:val="20"/>
                <w:szCs w:val="20"/>
                <w:vertAlign w:val="superscript"/>
              </w:rPr>
              <w:t xml:space="preserve">1 </w:t>
            </w:r>
            <w:r>
              <w:rPr>
                <w:b/>
                <w:bCs/>
                <w:sz w:val="20"/>
                <w:szCs w:val="20"/>
              </w:rPr>
              <w:t>, що надаються Учасниками в складі тендерної пропозиції</w:t>
            </w:r>
          </w:p>
        </w:tc>
      </w:tr>
      <w:tr>
        <w:trPr>
          <w:trHeight w:val="20" w:hRule="atLeast"/>
        </w:trPr>
        <w:tc>
          <w:tcPr>
            <w:tcW w:w="3225" w:type="dxa"/>
            <w:tcBorders>
              <w:left w:val="single" w:sz="4" w:space="0" w:color="000000"/>
              <w:bottom w:val="single" w:sz="4" w:space="0" w:color="000000"/>
            </w:tcBorders>
          </w:tcPr>
          <w:p>
            <w:pPr>
              <w:pStyle w:val="Normal"/>
              <w:rPr/>
            </w:pPr>
            <w:r>
              <w:rPr>
                <w:sz w:val="20"/>
                <w:szCs w:val="20"/>
              </w:rPr>
              <w:t xml:space="preserve">1. Наявність документально підтвердженого досвіду виконання аналогічного за предметом закупівлі договору </w:t>
            </w:r>
          </w:p>
        </w:tc>
        <w:tc>
          <w:tcPr>
            <w:tcW w:w="6912" w:type="dxa"/>
            <w:tcBorders>
              <w:left w:val="single" w:sz="4" w:space="0" w:color="000000"/>
              <w:bottom w:val="single" w:sz="4" w:space="0" w:color="000000"/>
              <w:right w:val="single" w:sz="4" w:space="0" w:color="000000"/>
            </w:tcBorders>
          </w:tcPr>
          <w:p>
            <w:pPr>
              <w:pStyle w:val="Normal"/>
              <w:jc w:val="both"/>
              <w:rPr>
                <w:b/>
                <w:b/>
                <w:bCs/>
                <w:i/>
                <w:i/>
                <w:iCs/>
                <w:sz w:val="20"/>
                <w:szCs w:val="20"/>
              </w:rPr>
            </w:pPr>
            <w:r>
              <w:rPr>
                <w:sz w:val="20"/>
                <w:szCs w:val="20"/>
                <w:shd w:fill="FFFFFF" w:val="clear"/>
              </w:rPr>
              <w:t xml:space="preserve">1. </w:t>
            </w:r>
            <w:r>
              <w:rPr>
                <w:sz w:val="20"/>
                <w:szCs w:val="20"/>
              </w:rPr>
              <w:t xml:space="preserve">Інформаційна довідка </w:t>
            </w:r>
            <w:r>
              <w:rPr>
                <w:sz w:val="20"/>
                <w:szCs w:val="20"/>
                <w:shd w:fill="FFFFFF" w:val="clear"/>
              </w:rPr>
              <w:t xml:space="preserve">про наявність в Учасника досвіду  виконання 1 (одного) </w:t>
            </w:r>
            <w:r>
              <w:rPr>
                <w:color w:val="333333"/>
                <w:sz w:val="20"/>
                <w:szCs w:val="20"/>
                <w:shd w:fill="FFFFFF" w:val="clear"/>
              </w:rPr>
              <w:t>аналогічного договору в повному обсязі</w:t>
            </w:r>
            <w:r>
              <w:rPr>
                <w:sz w:val="20"/>
                <w:szCs w:val="20"/>
                <w:shd w:fill="FFFFFF" w:val="clear"/>
              </w:rPr>
              <w:t>, згідно з нижченаведеною таблицею №1 та завірена копія цього договору. Завірена копія аналогічного договору в складі тендерної пропозиції надається з усіма додатками та додатковими угодами, що є його невід’ємними частинами. (</w:t>
            </w:r>
            <w:r>
              <w:rPr>
                <w:b/>
                <w:bCs/>
                <w:i/>
                <w:iCs/>
                <w:sz w:val="20"/>
                <w:szCs w:val="20"/>
              </w:rPr>
              <w:t>Аналогічним вважається договір за</w:t>
            </w:r>
            <w:r>
              <w:rPr>
                <w:b/>
                <w:bCs/>
                <w:spacing w:val="-3"/>
                <w:sz w:val="20"/>
                <w:szCs w:val="20"/>
              </w:rPr>
              <w:t xml:space="preserve"> </w:t>
            </w:r>
            <w:r>
              <w:rPr>
                <w:b/>
                <w:bCs/>
                <w:i/>
                <w:iCs/>
                <w:sz w:val="20"/>
                <w:szCs w:val="20"/>
              </w:rPr>
              <w:t xml:space="preserve">ДК 021:2015 </w:t>
            </w:r>
            <w:r>
              <w:rPr>
                <w:rFonts w:eastAsia="Times New Roman" w:cs="Times New Roman"/>
                <w:b/>
                <w:bCs/>
                <w:i/>
                <w:iCs/>
                <w:color w:val="auto"/>
                <w:kern w:val="0"/>
                <w:sz w:val="20"/>
                <w:szCs w:val="20"/>
                <w:lang w:val="uk-UA" w:eastAsia="ru-RU" w:bidi="ar-SA"/>
              </w:rPr>
              <w:t xml:space="preserve">– </w:t>
            </w:r>
            <w:r>
              <w:rPr>
                <w:rFonts w:eastAsia="Times New Roman" w:cs="Times New Roman"/>
                <w:b/>
                <w:bCs/>
                <w:i/>
                <w:iCs/>
                <w:color w:val="auto"/>
                <w:kern w:val="0"/>
                <w:sz w:val="20"/>
                <w:szCs w:val="20"/>
                <w:u w:val="none"/>
                <w:lang w:val="uk-UA" w:eastAsia="ru-RU" w:bidi="ar-SA"/>
              </w:rPr>
              <w:t>09320000-8 Пара, гаряча вода та пов’язана продукція</w:t>
            </w:r>
            <w:r>
              <w:rPr>
                <w:rFonts w:eastAsia="Times New Roman" w:cs="Times New Roman"/>
                <w:b/>
                <w:bCs/>
                <w:i/>
                <w:iCs/>
                <w:color w:val="auto"/>
                <w:kern w:val="0"/>
                <w:sz w:val="20"/>
                <w:szCs w:val="20"/>
                <w:lang w:val="uk-UA" w:eastAsia="ru-RU" w:bidi="ar-SA"/>
              </w:rPr>
              <w:t>).</w:t>
            </w:r>
          </w:p>
          <w:p>
            <w:pPr>
              <w:pStyle w:val="Normal"/>
              <w:jc w:val="both"/>
              <w:rPr>
                <w:sz w:val="20"/>
                <w:szCs w:val="20"/>
                <w:highlight w:val="white"/>
              </w:rPr>
            </w:pPr>
            <w:r>
              <w:rPr>
                <w:sz w:val="20"/>
                <w:szCs w:val="20"/>
                <w:shd w:fill="FFFFFF" w:val="clear"/>
              </w:rPr>
              <w:t xml:space="preserve">2. </w:t>
            </w:r>
            <w:r>
              <w:rPr>
                <w:rFonts w:eastAsia="Times New Roman" w:cs="Times New Roman"/>
                <w:color w:val="000000"/>
                <w:kern w:val="0"/>
                <w:sz w:val="20"/>
                <w:szCs w:val="20"/>
                <w:shd w:fill="FFFFFF" w:val="clear"/>
                <w:lang w:val="uk-UA" w:eastAsia="ru-RU" w:bidi="ar-SA"/>
              </w:rPr>
              <w:t xml:space="preserve">Завірена копія </w:t>
            </w:r>
            <w:r>
              <w:rPr>
                <w:sz w:val="20"/>
                <w:szCs w:val="20"/>
                <w:shd w:fill="FFFFFF" w:val="clear"/>
              </w:rPr>
              <w:t xml:space="preserve">листа-рекомендації від контрагента, що підтверджує успішне виконання умов договору та </w:t>
            </w:r>
            <w:r>
              <w:rPr>
                <w:rFonts w:eastAsia="Times New Roman" w:cs="Times New Roman"/>
                <w:color w:val="000000"/>
                <w:kern w:val="0"/>
                <w:sz w:val="20"/>
                <w:szCs w:val="20"/>
                <w:shd w:fill="FFFFFF" w:val="clear"/>
                <w:lang w:val="uk-UA" w:eastAsia="ru-RU" w:bidi="ar-SA"/>
              </w:rPr>
              <w:t>постачання товарів</w:t>
            </w:r>
            <w:r>
              <w:rPr>
                <w:sz w:val="20"/>
                <w:szCs w:val="20"/>
                <w:shd w:fill="FFFFFF" w:val="clear"/>
              </w:rPr>
              <w:t xml:space="preserve"> належної якості</w:t>
            </w:r>
            <w:r>
              <w:rPr>
                <w:sz w:val="20"/>
                <w:szCs w:val="20"/>
              </w:rPr>
              <w:t>. Лист-</w:t>
            </w:r>
            <w:r>
              <w:rPr>
                <w:rFonts w:eastAsia="Times New Roman" w:cs="Times New Roman"/>
                <w:color w:val="auto"/>
                <w:kern w:val="0"/>
                <w:sz w:val="20"/>
                <w:szCs w:val="20"/>
                <w:lang w:val="uk-UA" w:eastAsia="ru-RU" w:bidi="ar-SA"/>
              </w:rPr>
              <w:t>рекомендація</w:t>
            </w:r>
            <w:r>
              <w:rPr>
                <w:sz w:val="20"/>
                <w:szCs w:val="20"/>
              </w:rPr>
              <w:t xml:space="preserve"> повинен мати вихідний номер та дату складання, бути  </w:t>
            </w:r>
            <w:r>
              <w:rPr>
                <w:b/>
                <w:sz w:val="20"/>
                <w:szCs w:val="20"/>
              </w:rPr>
              <w:t>скріплений</w:t>
            </w:r>
            <w:bookmarkStart w:id="0" w:name="_GoBack"/>
            <w:bookmarkEnd w:id="0"/>
            <w:r>
              <w:rPr>
                <w:b/>
                <w:sz w:val="20"/>
                <w:szCs w:val="20"/>
              </w:rPr>
              <w:t xml:space="preserve"> печаткою</w:t>
            </w:r>
            <w:r>
              <w:rPr>
                <w:sz w:val="20"/>
                <w:szCs w:val="20"/>
              </w:rPr>
              <w:t xml:space="preserve"> контрагента (за наявності). </w:t>
            </w:r>
            <w:r>
              <w:rPr>
                <w:sz w:val="20"/>
                <w:szCs w:val="20"/>
                <w:shd w:fill="FFFFFF" w:val="clear"/>
              </w:rPr>
              <w:t xml:space="preserve">Контрагент – це інша сторона договору, тобто </w:t>
            </w:r>
            <w:r>
              <w:rPr>
                <w:rFonts w:eastAsia="Times New Roman" w:cs="Times New Roman"/>
                <w:color w:val="000000"/>
                <w:kern w:val="0"/>
                <w:sz w:val="20"/>
                <w:szCs w:val="20"/>
                <w:shd w:fill="FFFFFF" w:val="clear"/>
                <w:lang w:val="uk-UA" w:eastAsia="ru-RU" w:bidi="ar-SA"/>
              </w:rPr>
              <w:t>покупець товару</w:t>
            </w:r>
            <w:r>
              <w:rPr>
                <w:sz w:val="20"/>
                <w:szCs w:val="20"/>
                <w:shd w:fill="FFFFFF" w:val="clear"/>
              </w:rPr>
              <w:t>.</w:t>
            </w:r>
          </w:p>
        </w:tc>
      </w:tr>
    </w:tbl>
    <w:p>
      <w:pPr>
        <w:pStyle w:val="Normal"/>
        <w:rPr>
          <w:i/>
          <w:i/>
          <w:sz w:val="20"/>
          <w:szCs w:val="20"/>
        </w:rPr>
      </w:pPr>
      <w:r>
        <w:rPr>
          <w:i/>
          <w:sz w:val="20"/>
          <w:szCs w:val="20"/>
        </w:rPr>
      </w:r>
    </w:p>
    <w:p>
      <w:pPr>
        <w:pStyle w:val="Normal"/>
        <w:keepLines/>
        <w:ind w:firstLine="440"/>
        <w:jc w:val="center"/>
        <w:rPr>
          <w:b/>
          <w:b/>
          <w:sz w:val="20"/>
          <w:szCs w:val="20"/>
        </w:rPr>
      </w:pPr>
      <w:r>
        <w:rPr>
          <w:b/>
          <w:sz w:val="20"/>
          <w:szCs w:val="20"/>
        </w:rPr>
      </w:r>
    </w:p>
    <w:p>
      <w:pPr>
        <w:pStyle w:val="Normal"/>
        <w:keepLines/>
        <w:ind w:firstLine="440"/>
        <w:jc w:val="center"/>
        <w:rPr>
          <w:b/>
          <w:b/>
          <w:sz w:val="20"/>
          <w:szCs w:val="20"/>
        </w:rPr>
      </w:pPr>
      <w:r>
        <w:rPr>
          <w:b/>
          <w:sz w:val="20"/>
          <w:szCs w:val="20"/>
        </w:rPr>
      </w:r>
    </w:p>
    <w:p>
      <w:pPr>
        <w:pStyle w:val="Normal"/>
        <w:keepLines/>
        <w:ind w:firstLine="440"/>
        <w:jc w:val="right"/>
        <w:rPr>
          <w:b/>
          <w:b/>
        </w:rPr>
      </w:pPr>
      <w:r>
        <w:rPr>
          <w:b/>
        </w:rPr>
        <w:t>Таблиця № 1</w:t>
      </w:r>
    </w:p>
    <w:tbl>
      <w:tblPr>
        <w:tblW w:w="10125" w:type="dxa"/>
        <w:jc w:val="left"/>
        <w:tblInd w:w="-84" w:type="dxa"/>
        <w:tblCellMar>
          <w:top w:w="0" w:type="dxa"/>
          <w:left w:w="108" w:type="dxa"/>
          <w:bottom w:w="0" w:type="dxa"/>
          <w:right w:w="108" w:type="dxa"/>
        </w:tblCellMar>
        <w:tblLook w:firstRow="0" w:noVBand="0" w:lastRow="0" w:firstColumn="0" w:lastColumn="0" w:noHBand="0" w:val="0000"/>
      </w:tblPr>
      <w:tblGrid>
        <w:gridCol w:w="599"/>
        <w:gridCol w:w="1526"/>
        <w:gridCol w:w="1187"/>
        <w:gridCol w:w="1563"/>
        <w:gridCol w:w="1700"/>
        <w:gridCol w:w="1625"/>
        <w:gridCol w:w="1924"/>
      </w:tblGrid>
      <w:tr>
        <w:trPr/>
        <w:tc>
          <w:tcPr>
            <w:tcW w:w="599"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sz w:val="20"/>
                <w:szCs w:val="20"/>
              </w:rPr>
              <w:t xml:space="preserve">№ </w:t>
            </w:r>
            <w:r>
              <w:rPr>
                <w:sz w:val="20"/>
                <w:szCs w:val="20"/>
              </w:rPr>
              <w:t>п</w:t>
            </w:r>
            <w:r>
              <w:rPr>
                <w:rFonts w:eastAsia="Calibri"/>
                <w:sz w:val="20"/>
                <w:szCs w:val="20"/>
              </w:rPr>
              <w:t>/п</w:t>
            </w:r>
          </w:p>
        </w:tc>
        <w:tc>
          <w:tcPr>
            <w:tcW w:w="1526"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t>Найменування контрагента,</w:t>
            </w:r>
          </w:p>
          <w:p>
            <w:pPr>
              <w:pStyle w:val="Normal"/>
              <w:jc w:val="center"/>
              <w:rPr>
                <w:rFonts w:eastAsia="Calibri"/>
                <w:sz w:val="20"/>
                <w:szCs w:val="20"/>
              </w:rPr>
            </w:pPr>
            <w:r>
              <w:rPr>
                <w:rFonts w:eastAsia="Calibri"/>
                <w:sz w:val="20"/>
                <w:szCs w:val="20"/>
              </w:rPr>
              <w:t>ЄДРПОУ</w:t>
            </w:r>
          </w:p>
        </w:tc>
        <w:tc>
          <w:tcPr>
            <w:tcW w:w="1187"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t>Предмет договору</w:t>
            </w:r>
          </w:p>
        </w:tc>
        <w:tc>
          <w:tcPr>
            <w:tcW w:w="1563"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t>Номер, дата та термін дії договору</w:t>
            </w:r>
          </w:p>
        </w:tc>
        <w:tc>
          <w:tcPr>
            <w:tcW w:w="1700"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t>Сума (вартість) договору (грн., з/без ПДВ) з урахуванням змін</w:t>
            </w:r>
          </w:p>
        </w:tc>
        <w:tc>
          <w:tcPr>
            <w:tcW w:w="1625"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t>Період постачання/ надання послуг, дата повного виконання договору</w:t>
            </w:r>
          </w:p>
        </w:tc>
        <w:tc>
          <w:tcPr>
            <w:tcW w:w="19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sz w:val="20"/>
                <w:szCs w:val="20"/>
              </w:rPr>
            </w:pPr>
            <w:r>
              <w:rPr>
                <w:rFonts w:eastAsia="Calibri"/>
                <w:sz w:val="20"/>
                <w:szCs w:val="20"/>
              </w:rPr>
              <w:t>Контактні дані контрагента (телефон, факс, місцезнаходження)</w:t>
            </w:r>
          </w:p>
        </w:tc>
      </w:tr>
      <w:tr>
        <w:trPr/>
        <w:tc>
          <w:tcPr>
            <w:tcW w:w="599"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1.</w:t>
            </w:r>
          </w:p>
        </w:tc>
        <w:tc>
          <w:tcPr>
            <w:tcW w:w="1526"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r>
          </w:p>
        </w:tc>
        <w:tc>
          <w:tcPr>
            <w:tcW w:w="1187"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r>
          </w:p>
        </w:tc>
        <w:tc>
          <w:tcPr>
            <w:tcW w:w="1563"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
          </w:p>
        </w:tc>
        <w:tc>
          <w:tcPr>
            <w:tcW w:w="1700"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r>
          </w:p>
        </w:tc>
        <w:tc>
          <w:tcPr>
            <w:tcW w:w="1625" w:type="dxa"/>
            <w:tcBorders>
              <w:top w:val="single" w:sz="4" w:space="0" w:color="000000"/>
              <w:left w:val="single" w:sz="4" w:space="0" w:color="000000"/>
              <w:bottom w:val="single" w:sz="4" w:space="0" w:color="000000"/>
            </w:tcBorders>
            <w:shd w:color="auto" w:fill="auto" w:val="clear"/>
          </w:tcPr>
          <w:p>
            <w:pPr>
              <w:pStyle w:val="Normal"/>
              <w:jc w:val="center"/>
              <w:rPr>
                <w:rFonts w:eastAsia="Calibri"/>
                <w:sz w:val="20"/>
                <w:szCs w:val="20"/>
              </w:rPr>
            </w:pPr>
            <w:r>
              <w:rPr>
                <w:rFonts w:eastAsia="Calibri"/>
                <w:sz w:val="20"/>
                <w:szCs w:val="20"/>
              </w:rPr>
            </w:r>
          </w:p>
        </w:tc>
        <w:tc>
          <w:tcPr>
            <w:tcW w:w="19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sz w:val="20"/>
                <w:szCs w:val="20"/>
              </w:rPr>
            </w:pPr>
            <w:r>
              <w:rPr>
                <w:rFonts w:eastAsia="Calibri"/>
                <w:sz w:val="20"/>
                <w:szCs w:val="20"/>
              </w:rPr>
            </w:r>
          </w:p>
        </w:tc>
      </w:tr>
    </w:tbl>
    <w:p>
      <w:pPr>
        <w:pStyle w:val="Normal"/>
        <w:keepLines/>
        <w:ind w:firstLine="440"/>
        <w:jc w:val="center"/>
        <w:rPr>
          <w:b/>
          <w:b/>
          <w:strike/>
          <w:sz w:val="20"/>
          <w:szCs w:val="20"/>
          <w:u w:val="single"/>
        </w:rPr>
      </w:pPr>
      <w:r>
        <w:rPr>
          <w:b/>
          <w:strike/>
          <w:sz w:val="20"/>
          <w:szCs w:val="20"/>
          <w:u w:val="single"/>
        </w:rPr>
      </w:r>
    </w:p>
    <w:p>
      <w:pPr>
        <w:pStyle w:val="Normal"/>
        <w:keepLines/>
        <w:ind w:firstLine="440"/>
        <w:jc w:val="center"/>
        <w:rPr>
          <w:b/>
          <w:b/>
          <w:strike/>
          <w:sz w:val="20"/>
          <w:szCs w:val="20"/>
          <w:u w:val="single"/>
        </w:rPr>
      </w:pPr>
      <w:r>
        <w:rPr>
          <w:b/>
          <w:strike/>
          <w:sz w:val="20"/>
          <w:szCs w:val="20"/>
          <w:u w:val="single"/>
        </w:rPr>
      </w:r>
    </w:p>
    <w:p>
      <w:pPr>
        <w:pStyle w:val="Normal"/>
        <w:keepLines/>
        <w:ind w:firstLine="440"/>
        <w:jc w:val="center"/>
        <w:rPr>
          <w:b/>
          <w:b/>
          <w:strike/>
          <w:sz w:val="20"/>
          <w:szCs w:val="20"/>
          <w:u w:val="single"/>
        </w:rPr>
      </w:pPr>
      <w:r>
        <w:rPr>
          <w:b/>
          <w:strike/>
          <w:sz w:val="20"/>
          <w:szCs w:val="20"/>
          <w:u w:val="single"/>
        </w:rPr>
      </w:r>
    </w:p>
    <w:tbl>
      <w:tblPr>
        <w:tblW w:w="9925" w:type="dxa"/>
        <w:jc w:val="left"/>
        <w:tblInd w:w="109" w:type="dxa"/>
        <w:tblCellMar>
          <w:top w:w="0" w:type="dxa"/>
          <w:left w:w="108" w:type="dxa"/>
          <w:bottom w:w="0" w:type="dxa"/>
          <w:right w:w="108" w:type="dxa"/>
        </w:tblCellMar>
        <w:tblLook w:firstRow="0" w:noVBand="0" w:lastRow="0" w:firstColumn="0" w:lastColumn="0" w:noHBand="0" w:val="0000"/>
      </w:tblPr>
      <w:tblGrid>
        <w:gridCol w:w="3373"/>
        <w:gridCol w:w="3514"/>
        <w:gridCol w:w="3038"/>
      </w:tblGrid>
      <w:tr>
        <w:trPr>
          <w:trHeight w:val="572" w:hRule="atLeast"/>
        </w:trPr>
        <w:tc>
          <w:tcPr>
            <w:tcW w:w="3373" w:type="dxa"/>
            <w:tcBorders/>
            <w:shd w:color="auto" w:fill="auto" w:val="clear"/>
          </w:tcPr>
          <w:p>
            <w:pPr>
              <w:pStyle w:val="LOnormal"/>
              <w:widowControl w:val="false"/>
              <w:ind w:hanging="108"/>
              <w:rPr/>
            </w:pPr>
            <w:r>
              <w:rPr>
                <w:rFonts w:cs="Times New Roman" w:ascii="Times New Roman" w:hAnsi="Times New Roman"/>
                <w:color w:val="auto"/>
                <w:sz w:val="24"/>
                <w:szCs w:val="24"/>
                <w:lang w:val="uk-UA"/>
              </w:rPr>
              <w:t>___________________________</w:t>
            </w:r>
          </w:p>
          <w:p>
            <w:pPr>
              <w:pStyle w:val="LOnormal"/>
              <w:widowControl w:val="false"/>
              <w:ind w:hanging="108"/>
              <w:jc w:val="center"/>
              <w:rPr/>
            </w:pPr>
            <w:r>
              <w:rPr>
                <w:rFonts w:cs="Times New Roman" w:ascii="Times New Roman" w:hAnsi="Times New Roman"/>
                <w:i/>
                <w:color w:val="auto"/>
                <w:sz w:val="24"/>
                <w:szCs w:val="24"/>
                <w:vertAlign w:val="superscript"/>
                <w:lang w:val="uk-UA"/>
              </w:rPr>
              <w:t>посада уповноваженої особи Учасника</w:t>
            </w:r>
          </w:p>
        </w:tc>
        <w:tc>
          <w:tcPr>
            <w:tcW w:w="3514" w:type="dxa"/>
            <w:tcBorders/>
            <w:shd w:color="auto" w:fill="auto" w:val="clear"/>
          </w:tcPr>
          <w:p>
            <w:pPr>
              <w:pStyle w:val="LOnormal"/>
              <w:widowControl w:val="false"/>
              <w:jc w:val="center"/>
              <w:rPr/>
            </w:pPr>
            <w:r>
              <w:rPr>
                <w:rFonts w:cs="Times New Roman" w:ascii="Times New Roman" w:hAnsi="Times New Roman"/>
                <w:color w:val="auto"/>
                <w:sz w:val="24"/>
                <w:szCs w:val="24"/>
                <w:lang w:val="uk-UA"/>
              </w:rPr>
              <w:t>________________________</w:t>
            </w:r>
          </w:p>
          <w:p>
            <w:pPr>
              <w:pStyle w:val="LOnormal"/>
              <w:widowControl w:val="false"/>
              <w:jc w:val="center"/>
              <w:rPr/>
            </w:pPr>
            <w:r>
              <w:rPr>
                <w:rFonts w:cs="Times New Roman" w:ascii="Times New Roman" w:hAnsi="Times New Roman"/>
                <w:i/>
                <w:color w:val="auto"/>
                <w:sz w:val="24"/>
                <w:szCs w:val="24"/>
                <w:vertAlign w:val="superscript"/>
                <w:lang w:val="uk-UA"/>
              </w:rPr>
              <w:t>підпис та печатка (за наявності)</w:t>
            </w:r>
          </w:p>
        </w:tc>
        <w:tc>
          <w:tcPr>
            <w:tcW w:w="3038" w:type="dxa"/>
            <w:tcBorders/>
            <w:shd w:color="auto" w:fill="auto" w:val="clear"/>
          </w:tcPr>
          <w:p>
            <w:pPr>
              <w:pStyle w:val="LOnormal"/>
              <w:widowControl w:val="false"/>
              <w:rPr/>
            </w:pPr>
            <w:r>
              <w:rPr>
                <w:rFonts w:cs="Times New Roman" w:ascii="Times New Roman" w:hAnsi="Times New Roman"/>
                <w:color w:val="auto"/>
                <w:sz w:val="24"/>
                <w:szCs w:val="24"/>
                <w:lang w:val="uk-UA"/>
              </w:rPr>
              <w:t xml:space="preserve">____________________   </w:t>
            </w:r>
          </w:p>
          <w:p>
            <w:pPr>
              <w:pStyle w:val="LOnormal"/>
              <w:widowControl w:val="false"/>
              <w:rPr/>
            </w:pPr>
            <w:r>
              <w:rPr>
                <w:rFonts w:cs="Times New Roman" w:ascii="Times New Roman" w:hAnsi="Times New Roman"/>
                <w:i/>
                <w:color w:val="auto"/>
                <w:sz w:val="24"/>
                <w:szCs w:val="24"/>
                <w:vertAlign w:val="superscript"/>
                <w:lang w:val="uk-UA"/>
              </w:rPr>
              <w:t xml:space="preserve">              </w:t>
            </w:r>
            <w:r>
              <w:rPr>
                <w:rFonts w:cs="Times New Roman" w:ascii="Times New Roman" w:hAnsi="Times New Roman"/>
                <w:i/>
                <w:color w:val="auto"/>
                <w:sz w:val="24"/>
                <w:szCs w:val="24"/>
                <w:vertAlign w:val="superscript"/>
                <w:lang w:val="uk-UA"/>
              </w:rPr>
              <w:t>прізвище, ініціали</w:t>
            </w:r>
          </w:p>
        </w:tc>
      </w:tr>
    </w:tbl>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spacing w:before="0" w:after="0"/>
        <w:ind w:left="15" w:firstLine="425"/>
        <w:contextualSpacing/>
        <w:jc w:val="both"/>
        <w:rPr>
          <w:sz w:val="20"/>
          <w:szCs w:val="20"/>
          <w:highlight w:val="white"/>
        </w:rPr>
      </w:pPr>
      <w:r>
        <w:rPr>
          <w:sz w:val="20"/>
          <w:szCs w:val="20"/>
          <w:highlight w:val="white"/>
        </w:rPr>
      </w:r>
    </w:p>
    <w:p>
      <w:pPr>
        <w:pStyle w:val="Normal"/>
        <w:ind w:left="-709" w:hanging="0"/>
        <w:jc w:val="both"/>
        <w:rPr>
          <w:i/>
          <w:i/>
          <w:sz w:val="20"/>
          <w:szCs w:val="20"/>
        </w:rPr>
      </w:pPr>
      <w:r>
        <w:rPr>
          <w:i/>
          <w:sz w:val="20"/>
          <w:szCs w:val="20"/>
        </w:rPr>
      </w:r>
    </w:p>
    <w:p>
      <w:pPr>
        <w:pStyle w:val="Normal"/>
        <w:ind w:left="-709" w:hanging="0"/>
        <w:jc w:val="both"/>
        <w:rPr>
          <w:i/>
          <w:i/>
          <w:sz w:val="18"/>
          <w:szCs w:val="18"/>
        </w:rPr>
      </w:pPr>
      <w:r>
        <w:rPr>
          <w:i/>
          <w:sz w:val="18"/>
          <w:szCs w:val="18"/>
        </w:rPr>
        <w:t>Примітки:</w:t>
      </w:r>
    </w:p>
    <w:p>
      <w:pPr>
        <w:pStyle w:val="Normal"/>
        <w:widowControl w:val="false"/>
        <w:ind w:left="-709" w:hanging="21"/>
        <w:jc w:val="both"/>
        <w:rPr>
          <w:i/>
          <w:i/>
          <w:sz w:val="18"/>
          <w:szCs w:val="18"/>
          <w:lang w:eastAsia="en-US"/>
        </w:rPr>
      </w:pPr>
      <w:r>
        <w:rPr>
          <w:i/>
          <w:sz w:val="18"/>
          <w:szCs w:val="18"/>
        </w:rPr>
        <w:t>1 -</w:t>
      </w:r>
      <w:r>
        <w:rPr>
          <w:i/>
          <w:sz w:val="18"/>
          <w:szCs w:val="18"/>
          <w:vertAlign w:val="superscript"/>
        </w:rPr>
        <w:t xml:space="preserve"> </w:t>
      </w:r>
      <w:r>
        <w:rPr>
          <w:i/>
          <w:sz w:val="18"/>
          <w:szCs w:val="18"/>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2ac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ListParagraph">
    <w:name w:val="List Paragraph"/>
    <w:basedOn w:val="Normal"/>
    <w:uiPriority w:val="34"/>
    <w:qFormat/>
    <w:rsid w:val="00d92acb"/>
    <w:pPr>
      <w:widowControl w:val="false"/>
      <w:ind w:left="708" w:firstLine="567"/>
    </w:pPr>
    <w:rPr>
      <w:sz w:val="22"/>
      <w:szCs w:val="20"/>
      <w:lang w:eastAsia="zh-CN"/>
    </w:rPr>
  </w:style>
  <w:style w:type="paragraph" w:styleId="LOnormal" w:customStyle="1">
    <w:name w:val="LO-normal"/>
    <w:qFormat/>
    <w:rsid w:val="00fd341e"/>
    <w:pPr>
      <w:widowControl/>
      <w:suppressAutoHyphens w:val="true"/>
      <w:bidi w:val="0"/>
      <w:spacing w:lineRule="auto" w:line="276" w:before="0" w:after="0"/>
      <w:jc w:val="left"/>
    </w:pPr>
    <w:rPr>
      <w:rFonts w:ascii="Arial" w:hAnsi="Arial" w:eastAsia="Arial" w:cs="Arial"/>
      <w:color w:val="000000"/>
      <w:kern w:val="0"/>
      <w:sz w:val="24"/>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LibreOffice/6.4.3.2$Windows_X86_64 LibreOffice_project/747b5d0ebf89f41c860ec2a39efd7cb15b54f2d8</Application>
  <Pages>1</Pages>
  <Words>311</Words>
  <Characters>2203</Characters>
  <CharactersWithSpaces>2512</CharactersWithSpaces>
  <Paragraphs>26</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2022-08-16T06:39:00Z</dcterms:created>
  <dc:creator>user</dc:creator>
  <dc:description/>
  <dc:language>uk-UA</dc:language>
  <cp:lastModifiedBy/>
  <cp:lastPrinted>2022-11-16T14:02:51Z</cp:lastPrinted>
  <dcterms:modified xsi:type="dcterms:W3CDTF">2022-11-16T14:09:17Z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