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7F4E0" w14:textId="77777777" w:rsidR="00F66462" w:rsidRPr="007F443E" w:rsidRDefault="00F66462" w:rsidP="00F66462">
      <w:pPr>
        <w:ind w:left="5670"/>
        <w:jc w:val="both"/>
        <w:rPr>
          <w:rFonts w:ascii="Times New Roman" w:hAnsi="Times New Roman"/>
          <w:b/>
        </w:rPr>
      </w:pPr>
    </w:p>
    <w:p w14:paraId="134A2BD7" w14:textId="77777777" w:rsidR="00F66462" w:rsidRPr="007F443E" w:rsidRDefault="00F66462" w:rsidP="00F66462">
      <w:pPr>
        <w:ind w:left="5670"/>
        <w:jc w:val="right"/>
        <w:rPr>
          <w:rFonts w:ascii="Times New Roman" w:hAnsi="Times New Roman"/>
          <w:b/>
        </w:rPr>
      </w:pPr>
      <w:r w:rsidRPr="007F443E">
        <w:rPr>
          <w:rFonts w:ascii="Times New Roman" w:hAnsi="Times New Roman"/>
          <w:b/>
        </w:rPr>
        <w:t xml:space="preserve">Додаток </w:t>
      </w:r>
      <w:r w:rsidR="009241AA" w:rsidRPr="007F443E">
        <w:rPr>
          <w:rFonts w:ascii="Times New Roman" w:hAnsi="Times New Roman"/>
          <w:b/>
        </w:rPr>
        <w:t xml:space="preserve">№ </w:t>
      </w:r>
      <w:r w:rsidRPr="007F443E">
        <w:rPr>
          <w:rFonts w:ascii="Times New Roman" w:hAnsi="Times New Roman"/>
          <w:b/>
        </w:rPr>
        <w:t>1</w:t>
      </w:r>
    </w:p>
    <w:p w14:paraId="1F809154" w14:textId="77777777" w:rsidR="00F66462" w:rsidRPr="007F443E" w:rsidRDefault="00F66462" w:rsidP="00F66462">
      <w:pPr>
        <w:ind w:left="5670"/>
        <w:jc w:val="right"/>
        <w:rPr>
          <w:rFonts w:ascii="Times New Roman" w:hAnsi="Times New Roman"/>
          <w:b/>
          <w:bdr w:val="none" w:sz="0" w:space="0" w:color="auto" w:frame="1"/>
        </w:rPr>
      </w:pPr>
      <w:r w:rsidRPr="007F443E">
        <w:rPr>
          <w:rFonts w:ascii="Times New Roman" w:hAnsi="Times New Roman"/>
          <w:b/>
          <w:bdr w:val="none" w:sz="0" w:space="0" w:color="auto" w:frame="1"/>
        </w:rPr>
        <w:t xml:space="preserve">до тендерної документації  </w:t>
      </w:r>
    </w:p>
    <w:p w14:paraId="2253FC2A" w14:textId="77777777" w:rsidR="00F66462" w:rsidRPr="007F443E" w:rsidRDefault="00F66462" w:rsidP="00F66462">
      <w:pPr>
        <w:ind w:firstLine="284"/>
        <w:jc w:val="both"/>
        <w:rPr>
          <w:rFonts w:ascii="Times New Roman" w:hAnsi="Times New Roman"/>
        </w:rPr>
      </w:pPr>
    </w:p>
    <w:p w14:paraId="0AFD9706" w14:textId="77777777" w:rsidR="0037069C" w:rsidRPr="007F443E" w:rsidRDefault="0037069C" w:rsidP="0037069C">
      <w:pPr>
        <w:ind w:firstLine="284"/>
        <w:jc w:val="both"/>
        <w:rPr>
          <w:rFonts w:ascii="Times New Roman" w:hAnsi="Times New Roman"/>
          <w:b/>
          <w:bCs/>
        </w:rPr>
      </w:pPr>
    </w:p>
    <w:p w14:paraId="3D978AC2" w14:textId="77777777" w:rsidR="0037069C" w:rsidRPr="007F443E" w:rsidRDefault="0037069C" w:rsidP="0037069C">
      <w:pPr>
        <w:pStyle w:val="a6"/>
        <w:jc w:val="center"/>
        <w:rPr>
          <w:b/>
          <w:bCs/>
          <w:sz w:val="24"/>
          <w:szCs w:val="24"/>
        </w:rPr>
      </w:pPr>
      <w:r w:rsidRPr="007F443E">
        <w:rPr>
          <w:b/>
          <w:bCs/>
          <w:sz w:val="24"/>
          <w:szCs w:val="24"/>
        </w:rPr>
        <w:t>ПЕРЕЛІК ДОКУМЕНТІВ, ЯКІ ВИМАГАЮТЬСЯ ДЛЯ ПІДТВЕРДЖЕННЯ ВІДПОВІДНОСТІ ПРОПОЗИЦІЇ УЧАСНИКА КВАЛІФІКАЦІЙНИМ (КВАЛІФІКАЦІЙНОМУ) КРИТЕРІЯМ, ВСТАНОВЛЕНИМ ЗАМОВНИКОМ ВІДПОВІДНО ДО СТ.16 ЗАКОНУ</w:t>
      </w:r>
    </w:p>
    <w:p w14:paraId="79B31C8C" w14:textId="77777777" w:rsidR="00C92B92" w:rsidRPr="00987FFD" w:rsidRDefault="00C92B92" w:rsidP="00C92B92">
      <w:pPr>
        <w:shd w:val="clear" w:color="auto" w:fill="FFFFFF"/>
        <w:rPr>
          <w:rFonts w:ascii="Times New Roman" w:hAnsi="Times New Roman"/>
          <w:b/>
          <w:bCs/>
          <w:strike/>
          <w:color w:val="FF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684"/>
        <w:gridCol w:w="5376"/>
      </w:tblGrid>
      <w:tr w:rsidR="001E48D5" w:rsidRPr="007F443E" w14:paraId="7C456DEF" w14:textId="77777777" w:rsidTr="006B252A">
        <w:trPr>
          <w:trHeight w:val="6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5B3286" w14:textId="77777777" w:rsidR="001E48D5" w:rsidRPr="007F443E" w:rsidRDefault="001E48D5" w:rsidP="006B252A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 w:rsidRPr="007F443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AE2EB3" w14:textId="77777777" w:rsidR="001E48D5" w:rsidRPr="007F443E" w:rsidRDefault="001E48D5" w:rsidP="006B252A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 w:rsidRPr="007F443E">
              <w:rPr>
                <w:rFonts w:ascii="Times New Roman" w:hAnsi="Times New Roman"/>
                <w:b/>
                <w:bCs/>
              </w:rPr>
              <w:t>Кваліфікаційні критерії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4251B6" w14:textId="77777777" w:rsidR="001E48D5" w:rsidRPr="007F443E" w:rsidRDefault="001E48D5" w:rsidP="006B252A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 w:rsidRPr="007F443E">
              <w:rPr>
                <w:rFonts w:ascii="Times New Roman" w:hAnsi="Times New Roman"/>
                <w:b/>
                <w:bCs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465938" w:rsidRPr="007F443E" w14:paraId="44911C3B" w14:textId="77777777" w:rsidTr="009241AA">
        <w:trPr>
          <w:trHeight w:val="11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75A38" w14:textId="77777777" w:rsidR="00465938" w:rsidRPr="007F443E" w:rsidRDefault="00465938" w:rsidP="006B25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443E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CDB80" w14:textId="77777777" w:rsidR="00465938" w:rsidRPr="007F443E" w:rsidRDefault="00465938" w:rsidP="006B252A">
            <w:pPr>
              <w:rPr>
                <w:rFonts w:ascii="Times New Roman" w:hAnsi="Times New Roman"/>
                <w:b/>
                <w:bCs/>
              </w:rPr>
            </w:pPr>
            <w:r w:rsidRPr="007F443E">
              <w:rPr>
                <w:rFonts w:ascii="Times New Roman" w:hAnsi="Times New Roman"/>
                <w:b/>
                <w:bCs/>
              </w:rPr>
              <w:t>Наявність обладнання, матеріально-технічної бази та технологій</w:t>
            </w:r>
          </w:p>
          <w:p w14:paraId="6E2DB070" w14:textId="77777777" w:rsidR="00465938" w:rsidRPr="007F443E" w:rsidRDefault="00465938" w:rsidP="006B252A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E89A2" w14:textId="236BE610" w:rsidR="00B748E7" w:rsidRPr="00BC7B71" w:rsidRDefault="00B748E7" w:rsidP="001C11A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C7B71">
              <w:rPr>
                <w:rFonts w:ascii="Times New Roman" w:hAnsi="Times New Roman"/>
              </w:rPr>
              <w:t>1.</w:t>
            </w:r>
            <w:r w:rsidR="00232EC4" w:rsidRPr="00BC7B71">
              <w:rPr>
                <w:rFonts w:ascii="Times New Roman" w:hAnsi="Times New Roman"/>
              </w:rPr>
              <w:t>1</w:t>
            </w:r>
            <w:r w:rsidRPr="00BC7B71">
              <w:rPr>
                <w:rFonts w:ascii="Times New Roman" w:hAnsi="Times New Roman"/>
              </w:rPr>
              <w:t>. Довідка в довільній формі про наявність станції технічного обслуговування автомобілів в м. Миколаєві із зазначенням адреси та площі приміщення (приміщень) для підтвердження можливості належного надання послуг. Для документального підтвердження наявності приміщення (приміщень), учасник повинен надати у складі документів пропозиції документ (документи), що підтверджує (підтверджують) право власності або користування зазначеним (зазначеними) учасником приміщенням (приміщеннями), чинним (чинними) на час надання послуг, що є предметом закупівлі, не менше, ніж до 31.12.2023 року.</w:t>
            </w:r>
          </w:p>
          <w:p w14:paraId="7EC6E450" w14:textId="2A888AB8" w:rsidR="00B748E7" w:rsidRPr="00BC7B71" w:rsidRDefault="00B748E7" w:rsidP="00B748E7">
            <w:pPr>
              <w:shd w:val="clear" w:color="auto" w:fill="FFFFFF"/>
              <w:jc w:val="both"/>
              <w:rPr>
                <w:rFonts w:ascii="Times New Roman" w:hAnsi="Times New Roman"/>
                <w:strike/>
                <w:lang w:val="ru-RU"/>
              </w:rPr>
            </w:pPr>
            <w:r w:rsidRPr="00BC7B71">
              <w:rPr>
                <w:rFonts w:ascii="Times New Roman" w:hAnsi="Times New Roman"/>
              </w:rPr>
              <w:t>1.</w:t>
            </w:r>
            <w:r w:rsidR="00232EC4" w:rsidRPr="00BC7B71">
              <w:rPr>
                <w:rFonts w:ascii="Times New Roman" w:hAnsi="Times New Roman"/>
                <w:lang w:val="ru-RU"/>
              </w:rPr>
              <w:t>2</w:t>
            </w:r>
            <w:r w:rsidRPr="00BC7B71">
              <w:rPr>
                <w:rFonts w:ascii="Times New Roman" w:hAnsi="Times New Roman"/>
              </w:rPr>
              <w:t xml:space="preserve">. Довідка в довільній формі про наявність обладнання, матеріально-технічної бази та технологій, необхідних для надання </w:t>
            </w:r>
            <w:proofErr w:type="spellStart"/>
            <w:r w:rsidR="00232EC4" w:rsidRPr="00BC7B71">
              <w:rPr>
                <w:rFonts w:ascii="Times New Roman" w:hAnsi="Times New Roman"/>
                <w:lang w:val="ru-RU"/>
              </w:rPr>
              <w:t>послуг</w:t>
            </w:r>
            <w:proofErr w:type="spellEnd"/>
            <w:r w:rsidR="00232EC4" w:rsidRPr="00BC7B71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="00232EC4" w:rsidRPr="00BC7B71">
              <w:rPr>
                <w:rFonts w:ascii="Times New Roman" w:hAnsi="Times New Roman"/>
                <w:lang w:val="ru-RU"/>
              </w:rPr>
              <w:t>технічного</w:t>
            </w:r>
            <w:proofErr w:type="spellEnd"/>
            <w:r w:rsidR="00232EC4" w:rsidRPr="00BC7B7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32EC4" w:rsidRPr="00BC7B71">
              <w:rPr>
                <w:rFonts w:ascii="Times New Roman" w:hAnsi="Times New Roman"/>
                <w:lang w:val="ru-RU"/>
              </w:rPr>
              <w:t>обслуговування</w:t>
            </w:r>
            <w:proofErr w:type="spellEnd"/>
            <w:r w:rsidR="00232EC4" w:rsidRPr="00BC7B71">
              <w:rPr>
                <w:rFonts w:ascii="Times New Roman" w:hAnsi="Times New Roman"/>
                <w:lang w:val="ru-RU"/>
              </w:rPr>
              <w:t xml:space="preserve"> та ремонту </w:t>
            </w:r>
            <w:proofErr w:type="spellStart"/>
            <w:r w:rsidR="00232EC4" w:rsidRPr="00BC7B71">
              <w:rPr>
                <w:rFonts w:ascii="Times New Roman" w:hAnsi="Times New Roman"/>
                <w:lang w:val="ru-RU"/>
              </w:rPr>
              <w:t>транспортних</w:t>
            </w:r>
            <w:proofErr w:type="spellEnd"/>
            <w:r w:rsidR="00232EC4" w:rsidRPr="00BC7B7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32EC4" w:rsidRPr="00BC7B71">
              <w:rPr>
                <w:rFonts w:ascii="Times New Roman" w:hAnsi="Times New Roman"/>
                <w:lang w:val="ru-RU"/>
              </w:rPr>
              <w:t>засобів</w:t>
            </w:r>
            <w:proofErr w:type="spellEnd"/>
            <w:r w:rsidR="00232EC4" w:rsidRPr="00BC7B71">
              <w:rPr>
                <w:rFonts w:ascii="Times New Roman" w:hAnsi="Times New Roman"/>
                <w:lang w:val="ru-RU"/>
              </w:rPr>
              <w:t>.</w:t>
            </w:r>
          </w:p>
          <w:p w14:paraId="2F31DF5A" w14:textId="0B79DE35" w:rsidR="00B748E7" w:rsidRPr="00DA67A4" w:rsidRDefault="00B748E7" w:rsidP="00B748E7">
            <w:pPr>
              <w:shd w:val="clear" w:color="auto" w:fill="FFFFFF"/>
              <w:jc w:val="both"/>
              <w:rPr>
                <w:rFonts w:ascii="Times New Roman" w:hAnsi="Times New Roman"/>
                <w:strike/>
              </w:rPr>
            </w:pPr>
            <w:r w:rsidRPr="00BC7B71">
              <w:rPr>
                <w:rFonts w:ascii="Times New Roman" w:hAnsi="Times New Roman"/>
              </w:rPr>
              <w:t xml:space="preserve">Обов'язковими вимогами є наявність: автомобільних підйомників (підіймачів) стенду та/або стендів схід-розвал, обладнання для діагностики автомобілів, стенду для перевірки та ремонту </w:t>
            </w:r>
            <w:proofErr w:type="spellStart"/>
            <w:r w:rsidRPr="00BC7B71">
              <w:rPr>
                <w:rFonts w:ascii="Times New Roman" w:hAnsi="Times New Roman"/>
              </w:rPr>
              <w:t>топливних</w:t>
            </w:r>
            <w:proofErr w:type="spellEnd"/>
            <w:r w:rsidRPr="00BC7B71">
              <w:rPr>
                <w:rFonts w:ascii="Times New Roman" w:hAnsi="Times New Roman"/>
              </w:rPr>
              <w:t xml:space="preserve"> насосів, обладнання для балансування коліс, обладнання для перевірки форсунок, обладнання для заміни оливи, зарядного пристрою для акумуляторів автомобілів, спеціалізованих інструментів для ремонту та технічного обслуговування транспортних засобів замовника. </w:t>
            </w:r>
          </w:p>
          <w:p w14:paraId="3CE1FC19" w14:textId="5443087E" w:rsidR="00A42166" w:rsidRPr="00BC7B71" w:rsidRDefault="00B54ACB" w:rsidP="00BC7B71">
            <w:pPr>
              <w:shd w:val="clear" w:color="auto" w:fill="FFFFFF"/>
              <w:jc w:val="both"/>
              <w:rPr>
                <w:rFonts w:ascii="Times New Roman" w:hAnsi="Times New Roman"/>
                <w:strike/>
              </w:rPr>
            </w:pPr>
            <w:r w:rsidRPr="00DA67A4">
              <w:rPr>
                <w:rFonts w:ascii="Times New Roman" w:hAnsi="Times New Roman"/>
                <w:bCs/>
              </w:rPr>
              <w:t xml:space="preserve">Для документального підтвердження наявності </w:t>
            </w:r>
            <w:r w:rsidRPr="00DA67A4">
              <w:rPr>
                <w:rFonts w:ascii="Times New Roman" w:hAnsi="Times New Roman"/>
              </w:rPr>
              <w:t xml:space="preserve">обладнання, матеріально-технічної бази та технологій, необхідних для надання послуг, </w:t>
            </w:r>
            <w:r w:rsidRPr="00DA67A4">
              <w:rPr>
                <w:rFonts w:ascii="Times New Roman" w:hAnsi="Times New Roman"/>
                <w:bCs/>
              </w:rPr>
              <w:t xml:space="preserve">учасник повинен надати у складі своєї пропозиції </w:t>
            </w:r>
            <w:r w:rsidRPr="00DA67A4">
              <w:rPr>
                <w:rFonts w:ascii="Times New Roman" w:hAnsi="Times New Roman"/>
                <w:spacing w:val="-1"/>
              </w:rPr>
              <w:t xml:space="preserve">документи, що підтверджують право власності та/або користування: </w:t>
            </w:r>
            <w:r w:rsidR="00B748E7" w:rsidRPr="00BC7B71">
              <w:rPr>
                <w:rFonts w:ascii="Times New Roman" w:hAnsi="Times New Roman"/>
                <w:spacing w:val="-1"/>
              </w:rPr>
              <w:t>копію</w:t>
            </w:r>
            <w:r w:rsidR="00B748E7">
              <w:rPr>
                <w:rFonts w:ascii="Times New Roman" w:hAnsi="Times New Roman"/>
                <w:spacing w:val="-1"/>
              </w:rPr>
              <w:t xml:space="preserve"> </w:t>
            </w:r>
            <w:r w:rsidRPr="00DA67A4">
              <w:rPr>
                <w:rFonts w:ascii="Times New Roman" w:hAnsi="Times New Roman"/>
                <w:spacing w:val="-1"/>
              </w:rPr>
              <w:t>договір (договори) купівлі – продажу,</w:t>
            </w:r>
            <w:r w:rsidRPr="00DA67A4">
              <w:rPr>
                <w:rFonts w:ascii="Times New Roman" w:hAnsi="Times New Roman"/>
                <w:bCs/>
              </w:rPr>
              <w:t xml:space="preserve"> та/або </w:t>
            </w:r>
            <w:r w:rsidR="00B748E7" w:rsidRPr="00BC7B71">
              <w:rPr>
                <w:rFonts w:ascii="Times New Roman" w:hAnsi="Times New Roman"/>
                <w:bCs/>
              </w:rPr>
              <w:t>копію</w:t>
            </w:r>
            <w:r w:rsidR="00B748E7">
              <w:rPr>
                <w:rFonts w:ascii="Times New Roman" w:hAnsi="Times New Roman"/>
                <w:bCs/>
              </w:rPr>
              <w:t xml:space="preserve"> </w:t>
            </w:r>
            <w:r w:rsidRPr="00DA67A4">
              <w:rPr>
                <w:rFonts w:ascii="Times New Roman" w:hAnsi="Times New Roman"/>
                <w:bCs/>
              </w:rPr>
              <w:t>акт (акти) введення в експлуатацію,</w:t>
            </w:r>
            <w:r w:rsidRPr="00DA67A4">
              <w:rPr>
                <w:rFonts w:ascii="Times New Roman" w:hAnsi="Times New Roman"/>
                <w:spacing w:val="-1"/>
              </w:rPr>
              <w:t xml:space="preserve"> </w:t>
            </w:r>
            <w:r w:rsidRPr="00DA67A4">
              <w:rPr>
                <w:rFonts w:ascii="Times New Roman" w:hAnsi="Times New Roman"/>
                <w:bCs/>
              </w:rPr>
              <w:t>та/або</w:t>
            </w:r>
            <w:r w:rsidR="00BC7B71">
              <w:rPr>
                <w:rFonts w:ascii="Times New Roman" w:hAnsi="Times New Roman"/>
                <w:bCs/>
              </w:rPr>
              <w:t xml:space="preserve"> копію</w:t>
            </w:r>
            <w:r w:rsidRPr="00DA67A4">
              <w:rPr>
                <w:rFonts w:ascii="Times New Roman" w:hAnsi="Times New Roman"/>
                <w:bCs/>
              </w:rPr>
              <w:t xml:space="preserve"> накладн</w:t>
            </w:r>
            <w:r w:rsidR="00BC7B71">
              <w:rPr>
                <w:rFonts w:ascii="Times New Roman" w:hAnsi="Times New Roman"/>
                <w:bCs/>
              </w:rPr>
              <w:t>ої</w:t>
            </w:r>
            <w:r w:rsidRPr="00DA67A4">
              <w:rPr>
                <w:rFonts w:ascii="Times New Roman" w:hAnsi="Times New Roman"/>
                <w:bCs/>
              </w:rPr>
              <w:t xml:space="preserve"> (накладні) на придбання товару, </w:t>
            </w:r>
            <w:r w:rsidRPr="00DA67A4">
              <w:rPr>
                <w:rFonts w:ascii="Times New Roman" w:hAnsi="Times New Roman"/>
                <w:spacing w:val="-1"/>
              </w:rPr>
              <w:t>та/або</w:t>
            </w:r>
            <w:r w:rsidR="00BC7B71">
              <w:rPr>
                <w:rFonts w:ascii="Times New Roman" w:hAnsi="Times New Roman"/>
                <w:spacing w:val="-1"/>
              </w:rPr>
              <w:t xml:space="preserve"> копію</w:t>
            </w:r>
            <w:r w:rsidRPr="00DA67A4">
              <w:rPr>
                <w:rFonts w:ascii="Times New Roman" w:hAnsi="Times New Roman"/>
                <w:spacing w:val="-1"/>
              </w:rPr>
              <w:t xml:space="preserve"> догов</w:t>
            </w:r>
            <w:r w:rsidR="00BC7B71">
              <w:rPr>
                <w:rFonts w:ascii="Times New Roman" w:hAnsi="Times New Roman"/>
                <w:spacing w:val="-1"/>
              </w:rPr>
              <w:t>о</w:t>
            </w:r>
            <w:r w:rsidRPr="00DA67A4">
              <w:rPr>
                <w:rFonts w:ascii="Times New Roman" w:hAnsi="Times New Roman"/>
                <w:spacing w:val="-1"/>
              </w:rPr>
              <w:t>р</w:t>
            </w:r>
            <w:r w:rsidR="00BC7B71">
              <w:rPr>
                <w:rFonts w:ascii="Times New Roman" w:hAnsi="Times New Roman"/>
                <w:spacing w:val="-1"/>
              </w:rPr>
              <w:t>у</w:t>
            </w:r>
            <w:r w:rsidRPr="00DA67A4">
              <w:rPr>
                <w:rFonts w:ascii="Times New Roman" w:hAnsi="Times New Roman"/>
                <w:spacing w:val="-1"/>
              </w:rPr>
              <w:t xml:space="preserve"> (договори) оренди, та/або</w:t>
            </w:r>
            <w:r w:rsidR="00BC7B71">
              <w:rPr>
                <w:rFonts w:ascii="Times New Roman" w:hAnsi="Times New Roman"/>
                <w:spacing w:val="-1"/>
              </w:rPr>
              <w:t xml:space="preserve"> копію</w:t>
            </w:r>
            <w:r w:rsidRPr="00DA67A4">
              <w:rPr>
                <w:rFonts w:ascii="Times New Roman" w:hAnsi="Times New Roman"/>
                <w:spacing w:val="-1"/>
              </w:rPr>
              <w:t xml:space="preserve"> догов</w:t>
            </w:r>
            <w:r w:rsidR="00BC7B71">
              <w:rPr>
                <w:rFonts w:ascii="Times New Roman" w:hAnsi="Times New Roman"/>
                <w:spacing w:val="-1"/>
              </w:rPr>
              <w:t>о</w:t>
            </w:r>
            <w:r w:rsidRPr="00DA67A4">
              <w:rPr>
                <w:rFonts w:ascii="Times New Roman" w:hAnsi="Times New Roman"/>
                <w:spacing w:val="-1"/>
              </w:rPr>
              <w:t>р</w:t>
            </w:r>
            <w:r w:rsidR="00BC7B71">
              <w:rPr>
                <w:rFonts w:ascii="Times New Roman" w:hAnsi="Times New Roman"/>
                <w:spacing w:val="-1"/>
              </w:rPr>
              <w:t>у</w:t>
            </w:r>
            <w:r w:rsidRPr="00DA67A4">
              <w:rPr>
                <w:rFonts w:ascii="Times New Roman" w:hAnsi="Times New Roman"/>
                <w:spacing w:val="-1"/>
              </w:rPr>
              <w:t xml:space="preserve"> (договори) користування чи надання послуг тощо</w:t>
            </w:r>
            <w:r w:rsidR="002304F9" w:rsidRPr="00DA67A4">
              <w:rPr>
                <w:rFonts w:ascii="Times New Roman" w:hAnsi="Times New Roman"/>
                <w:spacing w:val="-1"/>
              </w:rPr>
              <w:t>.</w:t>
            </w:r>
            <w:r w:rsidRPr="00DA67A4">
              <w:rPr>
                <w:rFonts w:ascii="Times New Roman" w:hAnsi="Times New Roman"/>
                <w:spacing w:val="-1"/>
              </w:rPr>
              <w:t xml:space="preserve"> </w:t>
            </w:r>
          </w:p>
        </w:tc>
      </w:tr>
      <w:tr w:rsidR="00465938" w:rsidRPr="007F443E" w14:paraId="334CD091" w14:textId="77777777" w:rsidTr="009241AA">
        <w:trPr>
          <w:trHeight w:val="92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4D269" w14:textId="77777777" w:rsidR="00465938" w:rsidRPr="007F443E" w:rsidRDefault="00465938" w:rsidP="006B25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443E">
              <w:rPr>
                <w:rFonts w:ascii="Times New Roman" w:hAnsi="Times New Roman"/>
                <w:b/>
                <w:bCs/>
              </w:rPr>
              <w:lastRenderedPageBreak/>
              <w:t>2.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8CADC" w14:textId="77777777" w:rsidR="00465938" w:rsidRPr="007F443E" w:rsidRDefault="00465938" w:rsidP="009241AA">
            <w:pPr>
              <w:rPr>
                <w:rFonts w:ascii="Times New Roman" w:hAnsi="Times New Roman"/>
                <w:b/>
                <w:bCs/>
              </w:rPr>
            </w:pPr>
            <w:r w:rsidRPr="007F443E">
              <w:rPr>
                <w:rFonts w:ascii="Times New Roman" w:hAnsi="Times New Roman"/>
                <w:b/>
                <w:bCs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AFCB1" w14:textId="09821830" w:rsidR="00AE44C2" w:rsidRPr="007F443E" w:rsidRDefault="00465938" w:rsidP="00AE44C2">
            <w:pPr>
              <w:jc w:val="both"/>
              <w:rPr>
                <w:rFonts w:ascii="Times New Roman" w:hAnsi="Times New Roman"/>
              </w:rPr>
            </w:pPr>
            <w:r w:rsidRPr="007F443E">
              <w:rPr>
                <w:rFonts w:ascii="Times New Roman" w:hAnsi="Times New Roman"/>
              </w:rPr>
              <w:t>2.1. Довідка в довільній формі про наявність в учасника працівників відповідної кваліфікації, які мають необхідні знання та досвід</w:t>
            </w:r>
            <w:r w:rsidR="005270B1" w:rsidRPr="007F443E">
              <w:rPr>
                <w:rFonts w:ascii="Times New Roman" w:hAnsi="Times New Roman"/>
              </w:rPr>
              <w:t>. Учасником має бути зазначено тих працівників, які безпосередньо будуть залучені до виконання зобов'язань за даною процедурою закупівлі.</w:t>
            </w:r>
            <w:r w:rsidR="00BC7B71">
              <w:rPr>
                <w:rFonts w:ascii="Times New Roman" w:hAnsi="Times New Roman"/>
              </w:rPr>
              <w:t xml:space="preserve"> </w:t>
            </w:r>
            <w:r w:rsidR="00F76A04" w:rsidRPr="00BC7B71">
              <w:rPr>
                <w:rFonts w:ascii="Times New Roman" w:hAnsi="Times New Roman"/>
              </w:rPr>
              <w:t>Замовник вимагає наявність у учасника слюсарів з ремонту автомобілів та електромеханіків</w:t>
            </w:r>
            <w:r w:rsidR="00F76A04" w:rsidRPr="0028430F">
              <w:rPr>
                <w:rFonts w:ascii="Times New Roman" w:hAnsi="Times New Roman"/>
              </w:rPr>
              <w:t>, така інформація зазначається учасником у довідці про наявність працівників відповідної кваліфікації.</w:t>
            </w:r>
          </w:p>
        </w:tc>
      </w:tr>
      <w:tr w:rsidR="00465938" w:rsidRPr="007F443E" w14:paraId="13FD418E" w14:textId="77777777" w:rsidTr="008328FB">
        <w:trPr>
          <w:trHeight w:val="186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A2258" w14:textId="77777777" w:rsidR="00465938" w:rsidRPr="007F443E" w:rsidRDefault="00465938" w:rsidP="006B25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443E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45160" w14:textId="77777777" w:rsidR="00465938" w:rsidRPr="007F443E" w:rsidRDefault="00465938" w:rsidP="006B252A">
            <w:pPr>
              <w:rPr>
                <w:rFonts w:ascii="Times New Roman" w:hAnsi="Times New Roman"/>
                <w:b/>
                <w:bCs/>
              </w:rPr>
            </w:pPr>
            <w:r w:rsidRPr="007F443E">
              <w:rPr>
                <w:rFonts w:ascii="Times New Roman" w:hAnsi="Times New Roman"/>
                <w:b/>
                <w:bCs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2ADB0" w14:textId="77777777" w:rsidR="00C977BB" w:rsidRPr="007F443E" w:rsidRDefault="00C977BB" w:rsidP="00C977BB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7F443E">
              <w:rPr>
                <w:lang w:val="uk-UA"/>
              </w:rPr>
              <w:t>3.1. Довідка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646DFC4C" w14:textId="77777777" w:rsidR="00C977BB" w:rsidRPr="007F443E" w:rsidRDefault="00C977BB" w:rsidP="00C977BB">
            <w:pPr>
              <w:pStyle w:val="a5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7F443E">
              <w:rPr>
                <w:lang w:val="uk-UA"/>
              </w:rPr>
              <w:t>3.2.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6A74D4C3" w14:textId="33BC61A2" w:rsidR="00C977BB" w:rsidRPr="007F443E" w:rsidRDefault="00C977BB" w:rsidP="00C977BB">
            <w:pPr>
              <w:pStyle w:val="a5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7F443E">
              <w:rPr>
                <w:lang w:val="uk-UA"/>
              </w:rPr>
              <w:t>-   договір (и) з усіма укладеними додатковими угодами, додатками та специфікаціями до договору, на який (і) є посилання у довідці, що вимагається відповідно до вимог п.3.1 Розділу 3 цього Додатку.</w:t>
            </w:r>
          </w:p>
          <w:p w14:paraId="1F1335ED" w14:textId="577DD95D" w:rsidR="00C977BB" w:rsidRPr="007F443E" w:rsidRDefault="00C977BB" w:rsidP="00C977BB">
            <w:pPr>
              <w:pStyle w:val="a5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7F443E">
              <w:rPr>
                <w:lang w:val="uk-UA"/>
              </w:rPr>
              <w:t>- документ (и), підтверджуючий (і) повне виконання договору (</w:t>
            </w:r>
            <w:proofErr w:type="spellStart"/>
            <w:r w:rsidRPr="007F443E">
              <w:rPr>
                <w:lang w:val="uk-UA"/>
              </w:rPr>
              <w:t>ів</w:t>
            </w:r>
            <w:proofErr w:type="spellEnd"/>
            <w:r w:rsidRPr="007F443E">
              <w:rPr>
                <w:lang w:val="uk-UA"/>
              </w:rPr>
              <w:t>) аналогічного предмету закупівлі, наданого (</w:t>
            </w:r>
            <w:proofErr w:type="spellStart"/>
            <w:r w:rsidRPr="007F443E">
              <w:rPr>
                <w:lang w:val="uk-UA"/>
              </w:rPr>
              <w:t>их</w:t>
            </w:r>
            <w:proofErr w:type="spellEnd"/>
            <w:r w:rsidRPr="007F443E">
              <w:rPr>
                <w:lang w:val="uk-UA"/>
              </w:rPr>
              <w:t>) згідно п.3.2 Розділу 3 цього Додатку та на який є посилання у довідці, що вимагається відповідно до п.3.1 Розділу 3 цього Додатку, а саме: видаткова накладна (видаткові накладні), акт приймання-передачі (акти приймання-передачі тощо)</w:t>
            </w:r>
          </w:p>
          <w:p w14:paraId="3F088CF4" w14:textId="77777777" w:rsidR="00C977BB" w:rsidRPr="007F443E" w:rsidRDefault="00C977BB" w:rsidP="00C977BB">
            <w:pPr>
              <w:pStyle w:val="a5"/>
              <w:tabs>
                <w:tab w:val="left" w:pos="555"/>
                <w:tab w:val="left" w:pos="1020"/>
              </w:tabs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7F443E">
              <w:rPr>
                <w:lang w:val="uk-UA"/>
              </w:rPr>
              <w:t>Аналогічним (ми) договором (</w:t>
            </w:r>
            <w:proofErr w:type="spellStart"/>
            <w:r w:rsidRPr="007F443E">
              <w:rPr>
                <w:lang w:val="uk-UA"/>
              </w:rPr>
              <w:t>ами</w:t>
            </w:r>
            <w:proofErr w:type="spellEnd"/>
            <w:r w:rsidRPr="007F443E">
              <w:rPr>
                <w:lang w:val="uk-UA"/>
              </w:rPr>
              <w:t xml:space="preserve">) в розумінні цієї тендерної документації є договір  </w:t>
            </w:r>
            <w:r w:rsidR="0037069C" w:rsidRPr="007F443E">
              <w:rPr>
                <w:lang w:val="uk-UA"/>
              </w:rPr>
              <w:t xml:space="preserve">про надання послуг, </w:t>
            </w:r>
            <w:r w:rsidRPr="007F443E">
              <w:rPr>
                <w:lang w:val="uk-UA"/>
              </w:rPr>
              <w:t>аналогічних до предмету закупівлі.</w:t>
            </w:r>
          </w:p>
          <w:p w14:paraId="46144DE6" w14:textId="77777777" w:rsidR="00A6502C" w:rsidRPr="007F443E" w:rsidRDefault="00A6502C" w:rsidP="009241AA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CCD1CB4" w14:textId="77777777" w:rsidR="002B0E7B" w:rsidRPr="007F443E" w:rsidRDefault="001E48D5" w:rsidP="00796814">
      <w:pPr>
        <w:spacing w:before="240"/>
        <w:jc w:val="both"/>
        <w:rPr>
          <w:rFonts w:ascii="Times New Roman" w:hAnsi="Times New Roman"/>
          <w:i/>
          <w:iCs/>
        </w:rPr>
      </w:pPr>
      <w:r w:rsidRPr="007F443E">
        <w:rPr>
          <w:rFonts w:ascii="Times New Roman" w:hAnsi="Times New Roman"/>
          <w:i/>
          <w:iCs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</w:t>
      </w:r>
      <w:bookmarkStart w:id="0" w:name="_GoBack"/>
      <w:bookmarkEnd w:id="0"/>
      <w:r w:rsidRPr="007F443E">
        <w:rPr>
          <w:rFonts w:ascii="Times New Roman" w:hAnsi="Times New Roman"/>
          <w:i/>
          <w:iCs/>
        </w:rPr>
        <w:t>нням інформації.</w:t>
      </w:r>
    </w:p>
    <w:sectPr w:rsidR="002B0E7B" w:rsidRPr="007F443E" w:rsidSect="005C7C6F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62"/>
    <w:rsid w:val="00044C56"/>
    <w:rsid w:val="000461DD"/>
    <w:rsid w:val="00054E5A"/>
    <w:rsid w:val="000707E5"/>
    <w:rsid w:val="00090049"/>
    <w:rsid w:val="00094F09"/>
    <w:rsid w:val="000A2757"/>
    <w:rsid w:val="000C04E5"/>
    <w:rsid w:val="000D2C5A"/>
    <w:rsid w:val="000D4F76"/>
    <w:rsid w:val="001171A7"/>
    <w:rsid w:val="001B1A9D"/>
    <w:rsid w:val="001B4BC9"/>
    <w:rsid w:val="001C11AF"/>
    <w:rsid w:val="001C21B3"/>
    <w:rsid w:val="001C27FA"/>
    <w:rsid w:val="001E48D5"/>
    <w:rsid w:val="0022062E"/>
    <w:rsid w:val="002304F9"/>
    <w:rsid w:val="00232EC4"/>
    <w:rsid w:val="00234C42"/>
    <w:rsid w:val="00267337"/>
    <w:rsid w:val="002B0E7B"/>
    <w:rsid w:val="002B151D"/>
    <w:rsid w:val="00345B3F"/>
    <w:rsid w:val="003657FE"/>
    <w:rsid w:val="0037069C"/>
    <w:rsid w:val="00392CFE"/>
    <w:rsid w:val="003956DA"/>
    <w:rsid w:val="00421A62"/>
    <w:rsid w:val="00431619"/>
    <w:rsid w:val="00443217"/>
    <w:rsid w:val="0046552F"/>
    <w:rsid w:val="00465938"/>
    <w:rsid w:val="00470BB5"/>
    <w:rsid w:val="004C4DA0"/>
    <w:rsid w:val="00515476"/>
    <w:rsid w:val="005270B1"/>
    <w:rsid w:val="00591325"/>
    <w:rsid w:val="00597C52"/>
    <w:rsid w:val="005C7C6F"/>
    <w:rsid w:val="006073A2"/>
    <w:rsid w:val="00637D2D"/>
    <w:rsid w:val="00690044"/>
    <w:rsid w:val="006B06E6"/>
    <w:rsid w:val="006D018B"/>
    <w:rsid w:val="00704810"/>
    <w:rsid w:val="00735AD4"/>
    <w:rsid w:val="007541F4"/>
    <w:rsid w:val="007771F7"/>
    <w:rsid w:val="00786919"/>
    <w:rsid w:val="00796814"/>
    <w:rsid w:val="007E0CD0"/>
    <w:rsid w:val="007F0A07"/>
    <w:rsid w:val="007F443E"/>
    <w:rsid w:val="008165B8"/>
    <w:rsid w:val="008328FB"/>
    <w:rsid w:val="0088457F"/>
    <w:rsid w:val="008D0C3E"/>
    <w:rsid w:val="008D0DB9"/>
    <w:rsid w:val="008D42C8"/>
    <w:rsid w:val="008E7994"/>
    <w:rsid w:val="0090244B"/>
    <w:rsid w:val="009241AA"/>
    <w:rsid w:val="00953FD9"/>
    <w:rsid w:val="00987FFD"/>
    <w:rsid w:val="009970D4"/>
    <w:rsid w:val="009D2BEF"/>
    <w:rsid w:val="00A03236"/>
    <w:rsid w:val="00A42166"/>
    <w:rsid w:val="00A473D4"/>
    <w:rsid w:val="00A6502C"/>
    <w:rsid w:val="00AB0A78"/>
    <w:rsid w:val="00AE3931"/>
    <w:rsid w:val="00AE44C2"/>
    <w:rsid w:val="00B018B6"/>
    <w:rsid w:val="00B076A5"/>
    <w:rsid w:val="00B30C9B"/>
    <w:rsid w:val="00B52E0F"/>
    <w:rsid w:val="00B54ACB"/>
    <w:rsid w:val="00B557AF"/>
    <w:rsid w:val="00B61657"/>
    <w:rsid w:val="00B748E7"/>
    <w:rsid w:val="00B93C08"/>
    <w:rsid w:val="00BA586D"/>
    <w:rsid w:val="00BB2160"/>
    <w:rsid w:val="00BC3617"/>
    <w:rsid w:val="00BC7B71"/>
    <w:rsid w:val="00BD7B96"/>
    <w:rsid w:val="00C147AE"/>
    <w:rsid w:val="00C514DF"/>
    <w:rsid w:val="00C7112D"/>
    <w:rsid w:val="00C92B92"/>
    <w:rsid w:val="00C977BB"/>
    <w:rsid w:val="00CC670B"/>
    <w:rsid w:val="00D01865"/>
    <w:rsid w:val="00D2378F"/>
    <w:rsid w:val="00D614EE"/>
    <w:rsid w:val="00D642B2"/>
    <w:rsid w:val="00DA67A4"/>
    <w:rsid w:val="00DB5084"/>
    <w:rsid w:val="00E53F75"/>
    <w:rsid w:val="00E94887"/>
    <w:rsid w:val="00F116E0"/>
    <w:rsid w:val="00F12373"/>
    <w:rsid w:val="00F17249"/>
    <w:rsid w:val="00F32AFA"/>
    <w:rsid w:val="00F55523"/>
    <w:rsid w:val="00F64D32"/>
    <w:rsid w:val="00F66462"/>
    <w:rsid w:val="00F76A04"/>
    <w:rsid w:val="00F95D25"/>
    <w:rsid w:val="00FD3FD7"/>
    <w:rsid w:val="00FD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1334"/>
  <w15:docId w15:val="{B9303B6C-FCD1-4600-B981-CB7DCC81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8D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8D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ocdata">
    <w:name w:val="docdata"/>
    <w:aliases w:val="docy,v5,5657,baiaagaaboqcaaaduhqaaavgfaaaaaaaaaaaaaaaaaaaaaaaaaaaaaaaaaaaaaaaaaaaaaaaaaaaaaaaaaaaaaaaaaaaaaaaaaaaaaaaaaaaaaaaaaaaaaaaaaaaaaaaaaaaaaaaaaaaaaaaaaaaaaaaaaaaaaaaaaaaaaaaaaaaaaaaaaaaaaaaaaaaaaaaaaaaaaaaaaaaaaaaaaaaaaaaaaaaaaaaaaaaaaaa"/>
    <w:basedOn w:val="a"/>
    <w:rsid w:val="00C977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ru-RU"/>
    </w:rPr>
  </w:style>
  <w:style w:type="paragraph" w:styleId="a5">
    <w:name w:val="Normal (Web)"/>
    <w:basedOn w:val="a"/>
    <w:uiPriority w:val="99"/>
    <w:semiHidden/>
    <w:unhideWhenUsed/>
    <w:rsid w:val="00C977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ru-RU"/>
    </w:rPr>
  </w:style>
  <w:style w:type="paragraph" w:styleId="a6">
    <w:name w:val="No Spacing"/>
    <w:link w:val="a7"/>
    <w:uiPriority w:val="99"/>
    <w:qFormat/>
    <w:rsid w:val="003706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6"/>
    <w:uiPriority w:val="99"/>
    <w:rsid w:val="003706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2023-03-28T08:45:00Z</cp:lastPrinted>
  <dcterms:created xsi:type="dcterms:W3CDTF">2023-03-27T12:32:00Z</dcterms:created>
  <dcterms:modified xsi:type="dcterms:W3CDTF">2023-03-29T07:18:00Z</dcterms:modified>
</cp:coreProperties>
</file>