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E8" w:rsidRPr="003E3CA9" w:rsidRDefault="00132FE8" w:rsidP="00132FE8">
      <w:pPr>
        <w:pStyle w:val="1"/>
        <w:widowControl w:val="0"/>
        <w:ind w:right="23" w:firstLine="709"/>
        <w:contextualSpacing/>
        <w:jc w:val="right"/>
        <w:rPr>
          <w:rStyle w:val="a3"/>
          <w:rFonts w:cs="Times New Roman"/>
          <w:b/>
          <w:bCs/>
          <w:sz w:val="22"/>
          <w:szCs w:val="22"/>
          <w:u w:val="single"/>
          <w:lang w:val="uk-UA"/>
        </w:rPr>
      </w:pPr>
      <w:r w:rsidRPr="003E3CA9">
        <w:rPr>
          <w:rStyle w:val="a3"/>
          <w:rFonts w:cs="Times New Roman"/>
          <w:b/>
          <w:bCs/>
          <w:sz w:val="22"/>
          <w:szCs w:val="22"/>
          <w:u w:val="single"/>
          <w:lang w:val="uk-UA"/>
        </w:rPr>
        <w:t>ДОДАТОК 3</w:t>
      </w:r>
    </w:p>
    <w:p w:rsidR="00132FE8" w:rsidRPr="003E3CA9" w:rsidRDefault="00132FE8" w:rsidP="00132FE8">
      <w:pPr>
        <w:pStyle w:val="1"/>
        <w:ind w:firstLine="900"/>
        <w:contextualSpacing/>
        <w:jc w:val="center"/>
        <w:rPr>
          <w:rStyle w:val="a3"/>
          <w:rFonts w:cs="Times New Roman"/>
          <w:sz w:val="22"/>
          <w:szCs w:val="22"/>
          <w:lang w:val="uk-UA"/>
        </w:rPr>
      </w:pPr>
    </w:p>
    <w:p w:rsidR="00132FE8" w:rsidRPr="003E3CA9" w:rsidRDefault="00132FE8" w:rsidP="00132F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ДОГОВІР № 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2FE8" w:rsidRPr="003E3CA9" w:rsidRDefault="00132FE8" w:rsidP="00132F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</w:t>
      </w:r>
      <w:r w:rsidR="005F61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«       » ______ 202</w:t>
      </w:r>
      <w:r w:rsidR="00E135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р.</w:t>
      </w:r>
    </w:p>
    <w:p w:rsidR="00132FE8" w:rsidRPr="003E3CA9" w:rsidRDefault="00132FE8" w:rsidP="00132FE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5F61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 особі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директора</w:t>
      </w:r>
      <w:r w:rsidR="005F6164">
        <w:rPr>
          <w:rFonts w:ascii="Times New Roman" w:eastAsia="Times New Roman" w:hAnsi="Times New Roman" w:cs="Times New Roman"/>
          <w:sz w:val="24"/>
          <w:szCs w:val="24"/>
          <w:lang w:val="uk-UA"/>
        </w:rPr>
        <w:t>_________</w:t>
      </w:r>
      <w:proofErr w:type="spellEnd"/>
      <w:r w:rsidR="005F616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діє на підставі Статуту 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(далі - Замовник),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однієї сторони, і ___________________, в особі ________________, що діє на підставі ______ 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(далі - Постачальник),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іншої сторони, разом - 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Сторони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, уклали цей договір про таке (далі - Договір):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Предмет договору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В порядку та на умовах, визначених цим Договором, Постачальник передає у власність Замовникові товар, зазначений в специфікації  (Додаток № 1), що є невід`ємною частиною договору, а Замовник - придбає та оплачує товар за кодом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021:2015 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1.2. Термін поставки: з дати укладання договору до ________.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Якість</w:t>
      </w:r>
      <w:proofErr w:type="spellEnd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товару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Товару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зареєстрованим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нормативним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актам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діючого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стандартам (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передбачають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довкілля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Договору.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виявленні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неякісний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 на Товар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20-ти денний термін та сплачує замовнику штраф у розмірі </w:t>
      </w:r>
      <w:r w:rsidRPr="003E3C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від суми поставленого неякісного товару (абзац 1,2 п.2 ст. 231 Господарського кодексу України).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пов'язані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заміною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товару, по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2.3. Сплата пені не звільняє Сторону від виконання прийнятих на себе зобов’язань по Договору поставки.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2.4. Термін гарантійного обслуговування Товару повинен відповідати вимогам чинного законодавства України та становити не менше </w:t>
      </w:r>
      <w:r w:rsidR="003227CA"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місяців від дати введення цього Товару в експлуатацію.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III. Сума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визначена</w:t>
      </w:r>
      <w:proofErr w:type="spellEnd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договорі</w:t>
      </w:r>
      <w:proofErr w:type="spellEnd"/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3.1. </w:t>
      </w:r>
      <w:proofErr w:type="spellStart"/>
      <w:proofErr w:type="gram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Ц</w:t>
      </w:r>
      <w:proofErr w:type="gram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іна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за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одницю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Товару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є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договірною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між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Сторонами ,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визначається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згідно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виставлених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рахунків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і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накладних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(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специфікацій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),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встановлюється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в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національній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валюті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України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–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гривні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. Сума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визначена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у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Договорі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становить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з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урахуванням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всіх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витрат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зборів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та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податків</w:t>
      </w:r>
      <w:proofErr w:type="spellEnd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Theme="majorEastAsia" w:hAnsi="Times New Roman" w:cs="Times New Roman"/>
          <w:color w:val="272727" w:themeColor="text1" w:themeTint="D8"/>
          <w:sz w:val="24"/>
          <w:szCs w:val="24"/>
        </w:rPr>
        <w:t>Постачальника</w:t>
      </w:r>
      <w:proofErr w:type="spellEnd"/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3.2. Покращення якості предмета закупівлі не є підставою для збільшення суми, визначеної в договорі.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Порядок здійснення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опл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ати</w:t>
      </w:r>
      <w:proofErr w:type="spellEnd"/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4.1. Оплата проводиться 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ідставі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на товар,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через</w:t>
      </w:r>
      <w:r w:rsidR="00E63A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Розрахунки за кожну поставлену партію товару здійснюється у безготівковій формі.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4.3. Платіжні зобов’язання виникають при наявності відповідного бюджетного призначення.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V. Поста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чання</w:t>
      </w:r>
      <w:proofErr w:type="spellEnd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Товару</w:t>
      </w:r>
    </w:p>
    <w:p w:rsidR="005F6164" w:rsidRPr="005F6164" w:rsidRDefault="00132FE8" w:rsidP="005F616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товару: </w:t>
      </w:r>
      <w:r w:rsidR="005F616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накладну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на товар.  Датою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Товару по Договору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ТМЦ.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Передача-приймання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5.4. Факт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засвідчується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ідписання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накладної</w:t>
      </w: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5.5. Право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 переходить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в момент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ідписання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5.6.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супровідних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нестачі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будь-яких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складових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окремий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Акт, на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пред’являє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претензію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винній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5.7. Постачання товару здійснюється протягом 5-ти денного строку після отримання повідомлення (згоди) від Замовника.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5.8. У разі порушення термінів поставки товару, недопоставки товару в повному обсязі заявленому замовником постачальник, сплачує неустойку у розмірі 0,1% вартості непоставленого товару за кожен день затримки; а за затримку понад 30 днів додатково сплачується штраф у розмірі 7% вказаної вартості.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VI. Права та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обов’язки</w:t>
      </w:r>
      <w:proofErr w:type="spellEnd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сплачувати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товар;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6.2.1.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Догові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у строк 10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поставку  товару у строки,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6.2.3.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4.2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Договору (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печатки,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ідписів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6.3.1.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у строки,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6.3.2.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товару, 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асортимент,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, кількість та ціна</w:t>
      </w: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розділом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6.3.3. Надати дозвіл або ліцензії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 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6.3.4. Здійснити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пуско-налагоджувальні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 та послуги з налаштування Товару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6.4.1.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6.4.2. На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дострокову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за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6.5. У випадках, не передбачених цим Договором, Сторони несуть відповідальність, передбачену Господарським та Цивільним кодексами України, та іншим чинним законодавством. 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передбачену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7.2.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виплачує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пеню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постачанні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неякісної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продукції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чинного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7.3. Оплата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винну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Сторону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обов'язку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7.4. Одностороння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відмова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не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Обставини</w:t>
      </w:r>
      <w:proofErr w:type="spellEnd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сили</w:t>
      </w:r>
      <w:proofErr w:type="spellEnd"/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існували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масові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заворушення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війна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унаслідок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повинна не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ізніше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видаються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органами.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продовжується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FE8" w:rsidRPr="003E3CA9" w:rsidRDefault="00132FE8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IX.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Вирішення</w:t>
      </w:r>
      <w:proofErr w:type="spellEnd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спорі</w:t>
      </w:r>
      <w:proofErr w:type="gram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9.1.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спорів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вирішувати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взаємних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переговорі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недосягнення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спори (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вирішуються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у судовому порядку.</w:t>
      </w:r>
      <w:proofErr w:type="gramEnd"/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9.3. За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X. Строк </w:t>
      </w:r>
      <w:proofErr w:type="spellStart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дії</w:t>
      </w:r>
      <w:proofErr w:type="spellEnd"/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10.1. Цей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Догові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укладеним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Сторонами,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печатками та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31.12.202</w:t>
      </w:r>
      <w:r w:rsidR="00E1357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р.,</w:t>
      </w: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а в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10.2. Цей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Догові</w:t>
      </w:r>
      <w:proofErr w:type="gramStart"/>
      <w:r w:rsidRPr="003E3C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укладається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оригінальних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силу,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знаходитися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другий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 xml:space="preserve"> – у </w:t>
      </w:r>
      <w:proofErr w:type="spellStart"/>
      <w:r w:rsidRPr="003E3CA9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3E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Інші умови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11.1.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11.2. Зміни до договору можуть вноситися тільки за згодою сторін та на підставі окремо укладених угод. </w:t>
      </w:r>
    </w:p>
    <w:p w:rsidR="00604392" w:rsidRPr="003E3CA9" w:rsidRDefault="003227CA" w:rsidP="003227C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hAnsi="Times New Roman" w:cs="Times New Roman"/>
          <w:sz w:val="24"/>
          <w:szCs w:val="24"/>
        </w:rPr>
        <w:t>11.</w:t>
      </w:r>
      <w:r w:rsidRPr="003E3CA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E3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C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604392" w:rsidRPr="003E3CA9" w:rsidRDefault="00604392" w:rsidP="00604392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3E3CA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>;</w:t>
      </w:r>
    </w:p>
    <w:p w:rsidR="00604392" w:rsidRPr="003E3CA9" w:rsidRDefault="00604392" w:rsidP="00604392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3E3CA9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CA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>;</w:t>
      </w:r>
    </w:p>
    <w:p w:rsidR="00604392" w:rsidRPr="003E3CA9" w:rsidRDefault="00604392" w:rsidP="00604392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3E3CA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>;</w:t>
      </w:r>
    </w:p>
    <w:p w:rsidR="00604392" w:rsidRPr="003E3CA9" w:rsidRDefault="00604392" w:rsidP="00604392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3E3C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>ідтверджених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CA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>;</w:t>
      </w:r>
    </w:p>
    <w:p w:rsidR="00604392" w:rsidRPr="003E3CA9" w:rsidRDefault="00604392" w:rsidP="00604392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>);</w:t>
      </w:r>
    </w:p>
    <w:p w:rsidR="00604392" w:rsidRPr="003E3CA9" w:rsidRDefault="00604392" w:rsidP="00604392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C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>;</w:t>
      </w:r>
    </w:p>
    <w:p w:rsidR="00604392" w:rsidRPr="003E3CA9" w:rsidRDefault="00604392" w:rsidP="00604392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CA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на ринку “на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CA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>;</w:t>
      </w:r>
    </w:p>
    <w:p w:rsidR="003227CA" w:rsidRPr="003E3CA9" w:rsidRDefault="00604392" w:rsidP="00604392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41 Закону.</w:t>
      </w:r>
    </w:p>
    <w:p w:rsidR="003227CA" w:rsidRPr="003E3CA9" w:rsidRDefault="003227CA" w:rsidP="003227C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CA9">
        <w:rPr>
          <w:rFonts w:ascii="Times New Roman" w:hAnsi="Times New Roman" w:cs="Times New Roman"/>
          <w:sz w:val="24"/>
          <w:szCs w:val="24"/>
        </w:rPr>
        <w:t xml:space="preserve">         11.</w:t>
      </w:r>
      <w:r w:rsidRPr="003E3CA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E3CA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A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E3CA9">
        <w:rPr>
          <w:rFonts w:ascii="Times New Roman" w:hAnsi="Times New Roman" w:cs="Times New Roman"/>
          <w:sz w:val="24"/>
          <w:szCs w:val="24"/>
        </w:rPr>
        <w:t>.</w:t>
      </w:r>
    </w:p>
    <w:p w:rsidR="00604392" w:rsidRPr="003E3CA9" w:rsidRDefault="003227CA" w:rsidP="003227CA">
      <w:pPr>
        <w:pStyle w:val="a4"/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3E3CA9">
        <w:rPr>
          <w:rFonts w:ascii="Times New Roman" w:hAnsi="Times New Roman"/>
          <w:sz w:val="24"/>
          <w:szCs w:val="24"/>
          <w:lang w:val="uk-UA"/>
        </w:rPr>
        <w:t xml:space="preserve">11.5. Договір про закупівлю є нікчемним у разі: </w:t>
      </w:r>
    </w:p>
    <w:p w:rsidR="00604392" w:rsidRPr="003E3CA9" w:rsidRDefault="00604392" w:rsidP="006043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r w:rsidRPr="003E3CA9">
        <w:rPr>
          <w:color w:val="333333"/>
          <w:lang w:val="uk-UA"/>
        </w:rPr>
        <w:t>1</w:t>
      </w:r>
      <w:r w:rsidRPr="005F6164">
        <w:rPr>
          <w:color w:val="333333"/>
          <w:lang w:val="uk-UA"/>
        </w:rPr>
        <w:t>) коли замовник уклав</w:t>
      </w:r>
      <w:r w:rsidR="003E3CA9">
        <w:rPr>
          <w:color w:val="333333"/>
          <w:lang w:val="uk-UA"/>
        </w:rPr>
        <w:t xml:space="preserve"> договір</w:t>
      </w:r>
      <w:r w:rsidRPr="003E3CA9">
        <w:rPr>
          <w:color w:val="333333"/>
        </w:rPr>
        <w:t> </w:t>
      </w:r>
      <w:r w:rsidRPr="005F6164">
        <w:rPr>
          <w:color w:val="333333"/>
          <w:lang w:val="uk-UA"/>
        </w:rPr>
        <w:t>про закупівлю з порушенням вимог, визначених</w:t>
      </w:r>
      <w:r w:rsidRPr="003E3CA9">
        <w:rPr>
          <w:color w:val="333333"/>
        </w:rPr>
        <w:t> </w:t>
      </w:r>
      <w:hyperlink r:id="rId5" w:anchor="n24" w:history="1">
        <w:r w:rsidRPr="005F6164">
          <w:rPr>
            <w:rStyle w:val="a6"/>
            <w:color w:val="006600"/>
            <w:lang w:val="uk-UA"/>
          </w:rPr>
          <w:t>пунктом 5</w:t>
        </w:r>
      </w:hyperlink>
      <w:r w:rsidRPr="003E3CA9">
        <w:rPr>
          <w:color w:val="333333"/>
        </w:rPr>
        <w:t> </w:t>
      </w:r>
      <w:r w:rsidR="00CA1577" w:rsidRPr="003E3CA9">
        <w:rPr>
          <w:color w:val="333333"/>
          <w:lang w:val="uk-UA"/>
        </w:rPr>
        <w:t>О</w:t>
      </w:r>
      <w:r w:rsidRPr="005F6164">
        <w:rPr>
          <w:color w:val="333333"/>
          <w:lang w:val="uk-UA"/>
        </w:rPr>
        <w:t>собливостей</w:t>
      </w:r>
      <w:r w:rsidR="00142A34" w:rsidRPr="003E3CA9">
        <w:rPr>
          <w:lang w:val="uk-UA" w:eastAsia="ru-RU"/>
        </w:rPr>
        <w:t xml:space="preserve"> здійснення публічних закупівель товарів, робіт і послуг для замовників, передбачених Законом України </w:t>
      </w:r>
      <w:proofErr w:type="spellStart"/>
      <w:r w:rsidR="00142A34" w:rsidRPr="003E3CA9">
        <w:rPr>
          <w:lang w:val="uk-UA" w:eastAsia="ru-RU"/>
        </w:rPr>
        <w:t>“Про</w:t>
      </w:r>
      <w:proofErr w:type="spellEnd"/>
      <w:r w:rsidR="00142A34" w:rsidRPr="003E3CA9">
        <w:rPr>
          <w:lang w:val="uk-UA" w:eastAsia="ru-RU"/>
        </w:rPr>
        <w:t xml:space="preserve"> публічні </w:t>
      </w:r>
      <w:proofErr w:type="spellStart"/>
      <w:r w:rsidR="00142A34" w:rsidRPr="003E3CA9">
        <w:rPr>
          <w:lang w:val="uk-UA" w:eastAsia="ru-RU"/>
        </w:rPr>
        <w:t>закупівлі”</w:t>
      </w:r>
      <w:proofErr w:type="spellEnd"/>
      <w:r w:rsidR="00142A34" w:rsidRPr="003E3CA9">
        <w:rPr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 (далі Особливості), затверджені постановою Кабінету Міністрів України від 12 жовтня 2022 р. № 1178);</w:t>
      </w:r>
      <w:bookmarkStart w:id="0" w:name="n96"/>
      <w:bookmarkEnd w:id="0"/>
    </w:p>
    <w:p w:rsidR="00604392" w:rsidRPr="003E3CA9" w:rsidRDefault="00604392" w:rsidP="00604392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</w:rPr>
      </w:pPr>
      <w:r w:rsidRPr="003E3CA9">
        <w:rPr>
          <w:color w:val="333333"/>
        </w:rPr>
        <w:t xml:space="preserve">2) </w:t>
      </w:r>
      <w:proofErr w:type="spellStart"/>
      <w:r w:rsidRPr="003E3CA9">
        <w:rPr>
          <w:color w:val="333333"/>
        </w:rPr>
        <w:t>укладення</w:t>
      </w:r>
      <w:proofErr w:type="spellEnd"/>
      <w:r w:rsidRPr="003E3CA9">
        <w:rPr>
          <w:color w:val="333333"/>
        </w:rPr>
        <w:t xml:space="preserve"> договору </w:t>
      </w:r>
      <w:proofErr w:type="gramStart"/>
      <w:r w:rsidRPr="003E3CA9">
        <w:rPr>
          <w:color w:val="333333"/>
        </w:rPr>
        <w:t>про</w:t>
      </w:r>
      <w:proofErr w:type="gram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закупівлю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з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порушенням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вимог</w:t>
      </w:r>
      <w:proofErr w:type="spellEnd"/>
      <w:r w:rsidRPr="003E3CA9">
        <w:rPr>
          <w:color w:val="333333"/>
        </w:rPr>
        <w:t> </w:t>
      </w:r>
      <w:hyperlink r:id="rId6" w:anchor="n69" w:history="1">
        <w:r w:rsidRPr="003E3CA9">
          <w:rPr>
            <w:rStyle w:val="a6"/>
            <w:color w:val="006600"/>
          </w:rPr>
          <w:t>пункту 18</w:t>
        </w:r>
      </w:hyperlink>
      <w:r w:rsidRPr="003E3CA9">
        <w:rPr>
          <w:color w:val="333333"/>
        </w:rPr>
        <w:t xml:space="preserve">  </w:t>
      </w:r>
      <w:r w:rsidR="00CA1577" w:rsidRPr="003E3CA9">
        <w:rPr>
          <w:color w:val="333333"/>
          <w:lang w:val="uk-UA"/>
        </w:rPr>
        <w:t>О</w:t>
      </w:r>
      <w:proofErr w:type="spellStart"/>
      <w:r w:rsidRPr="003E3CA9">
        <w:rPr>
          <w:color w:val="333333"/>
        </w:rPr>
        <w:t>собливостей</w:t>
      </w:r>
      <w:proofErr w:type="spellEnd"/>
      <w:r w:rsidRPr="003E3CA9">
        <w:rPr>
          <w:color w:val="333333"/>
        </w:rPr>
        <w:t>;</w:t>
      </w:r>
    </w:p>
    <w:p w:rsidR="00604392" w:rsidRPr="003E3CA9" w:rsidRDefault="00604392" w:rsidP="00604392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</w:rPr>
      </w:pPr>
      <w:bookmarkStart w:id="1" w:name="n97"/>
      <w:bookmarkEnd w:id="1"/>
      <w:r w:rsidRPr="003E3CA9">
        <w:rPr>
          <w:color w:val="333333"/>
        </w:rPr>
        <w:t xml:space="preserve">3) </w:t>
      </w:r>
      <w:proofErr w:type="spellStart"/>
      <w:r w:rsidRPr="003E3CA9">
        <w:rPr>
          <w:color w:val="333333"/>
        </w:rPr>
        <w:t>укладення</w:t>
      </w:r>
      <w:proofErr w:type="spellEnd"/>
      <w:r w:rsidRPr="003E3CA9">
        <w:rPr>
          <w:color w:val="333333"/>
        </w:rPr>
        <w:t xml:space="preserve"> договору про </w:t>
      </w:r>
      <w:proofErr w:type="spellStart"/>
      <w:r w:rsidRPr="003E3CA9">
        <w:rPr>
          <w:color w:val="333333"/>
        </w:rPr>
        <w:t>закупівлю</w:t>
      </w:r>
      <w:proofErr w:type="spellEnd"/>
      <w:r w:rsidRPr="003E3CA9">
        <w:rPr>
          <w:color w:val="333333"/>
        </w:rPr>
        <w:t xml:space="preserve"> в </w:t>
      </w:r>
      <w:proofErr w:type="spellStart"/>
      <w:r w:rsidRPr="003E3CA9">
        <w:rPr>
          <w:color w:val="333333"/>
        </w:rPr>
        <w:t>період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оскарження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відкритих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торгів</w:t>
      </w:r>
      <w:proofErr w:type="spellEnd"/>
      <w:r w:rsidRPr="003E3CA9">
        <w:rPr>
          <w:color w:val="333333"/>
        </w:rPr>
        <w:t xml:space="preserve"> </w:t>
      </w:r>
      <w:proofErr w:type="spellStart"/>
      <w:proofErr w:type="gramStart"/>
      <w:r w:rsidRPr="003E3CA9">
        <w:rPr>
          <w:color w:val="333333"/>
        </w:rPr>
        <w:t>в</w:t>
      </w:r>
      <w:proofErr w:type="gramEnd"/>
      <w:r w:rsidRPr="003E3CA9">
        <w:rPr>
          <w:color w:val="333333"/>
        </w:rPr>
        <w:t>ідповідно</w:t>
      </w:r>
      <w:proofErr w:type="spellEnd"/>
      <w:r w:rsidRPr="003E3CA9">
        <w:rPr>
          <w:color w:val="333333"/>
        </w:rPr>
        <w:t xml:space="preserve"> до </w:t>
      </w:r>
      <w:proofErr w:type="spellStart"/>
      <w:r w:rsidR="00496764">
        <w:fldChar w:fldCharType="begin"/>
      </w:r>
      <w:r w:rsidR="00496764">
        <w:instrText>HYPERLINK "https://zakon.rada.gov.ua/laws/show/922-19" \l "n1284" \t "_blank"</w:instrText>
      </w:r>
      <w:r w:rsidR="00496764">
        <w:fldChar w:fldCharType="separate"/>
      </w:r>
      <w:r w:rsidRPr="003E3CA9">
        <w:rPr>
          <w:rStyle w:val="a6"/>
          <w:color w:val="000099"/>
        </w:rPr>
        <w:t>статті</w:t>
      </w:r>
      <w:proofErr w:type="spellEnd"/>
      <w:r w:rsidRPr="003E3CA9">
        <w:rPr>
          <w:rStyle w:val="a6"/>
          <w:color w:val="000099"/>
        </w:rPr>
        <w:t xml:space="preserve"> 18</w:t>
      </w:r>
      <w:r w:rsidR="00496764">
        <w:fldChar w:fldCharType="end"/>
      </w:r>
      <w:r w:rsidRPr="003E3CA9">
        <w:rPr>
          <w:color w:val="333333"/>
        </w:rPr>
        <w:t xml:space="preserve"> Закону та  </w:t>
      </w:r>
      <w:r w:rsidR="00CA1577" w:rsidRPr="003E3CA9">
        <w:rPr>
          <w:color w:val="333333"/>
          <w:lang w:val="uk-UA"/>
        </w:rPr>
        <w:t>О</w:t>
      </w:r>
      <w:proofErr w:type="spellStart"/>
      <w:r w:rsidRPr="003E3CA9">
        <w:rPr>
          <w:color w:val="333333"/>
        </w:rPr>
        <w:t>собливостей</w:t>
      </w:r>
      <w:proofErr w:type="spellEnd"/>
      <w:r w:rsidRPr="003E3CA9">
        <w:rPr>
          <w:color w:val="333333"/>
        </w:rPr>
        <w:t>;</w:t>
      </w:r>
    </w:p>
    <w:p w:rsidR="00604392" w:rsidRPr="003E3CA9" w:rsidRDefault="00604392" w:rsidP="00604392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color w:val="333333"/>
        </w:rPr>
      </w:pPr>
      <w:bookmarkStart w:id="2" w:name="n98"/>
      <w:bookmarkEnd w:id="2"/>
      <w:r w:rsidRPr="003E3CA9">
        <w:rPr>
          <w:color w:val="333333"/>
        </w:rPr>
        <w:t xml:space="preserve">4) </w:t>
      </w:r>
      <w:proofErr w:type="spellStart"/>
      <w:r w:rsidRPr="003E3CA9">
        <w:rPr>
          <w:color w:val="333333"/>
        </w:rPr>
        <w:t>укладення</w:t>
      </w:r>
      <w:proofErr w:type="spellEnd"/>
      <w:r w:rsidRPr="003E3CA9">
        <w:rPr>
          <w:color w:val="333333"/>
        </w:rPr>
        <w:t xml:space="preserve"> договору </w:t>
      </w:r>
      <w:proofErr w:type="spellStart"/>
      <w:r w:rsidRPr="003E3CA9">
        <w:rPr>
          <w:color w:val="333333"/>
        </w:rPr>
        <w:t>з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порушенням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строків</w:t>
      </w:r>
      <w:proofErr w:type="spellEnd"/>
      <w:r w:rsidRPr="003E3CA9">
        <w:rPr>
          <w:color w:val="333333"/>
        </w:rPr>
        <w:t xml:space="preserve">, </w:t>
      </w:r>
      <w:proofErr w:type="spellStart"/>
      <w:r w:rsidRPr="003E3CA9">
        <w:rPr>
          <w:color w:val="333333"/>
        </w:rPr>
        <w:t>передбачених</w:t>
      </w:r>
      <w:proofErr w:type="spellEnd"/>
      <w:r w:rsidRPr="003E3CA9">
        <w:rPr>
          <w:color w:val="333333"/>
        </w:rPr>
        <w:t xml:space="preserve"> абзацами </w:t>
      </w:r>
      <w:proofErr w:type="spellStart"/>
      <w:r w:rsidR="00496764">
        <w:fldChar w:fldCharType="begin"/>
      </w:r>
      <w:r w:rsidR="00496764">
        <w:instrText>HYPERLINK "https://zakon.rada.gov.ua/laws/show/1178-2022-%D0%BF?find=1&amp;text=%D0%BD%D1%96%D0%BA%D1%87%D0%B5%D0%BC%D0%BD%D0%B8%D0%B9+%D0%B4%D0%BE%D0%B3%D0%BE%D0%B2%D1%96%D1%80" \l "n169"</w:instrText>
      </w:r>
      <w:r w:rsidR="00496764">
        <w:fldChar w:fldCharType="separate"/>
      </w:r>
      <w:r w:rsidRPr="003E3CA9">
        <w:rPr>
          <w:rStyle w:val="a6"/>
          <w:color w:val="006600"/>
        </w:rPr>
        <w:t>третім</w:t>
      </w:r>
      <w:proofErr w:type="spellEnd"/>
      <w:r w:rsidR="00496764">
        <w:fldChar w:fldCharType="end"/>
      </w:r>
      <w:r w:rsidRPr="003E3CA9">
        <w:rPr>
          <w:color w:val="333333"/>
        </w:rPr>
        <w:t> та </w:t>
      </w:r>
      <w:proofErr w:type="spellStart"/>
      <w:r w:rsidR="00496764">
        <w:fldChar w:fldCharType="begin"/>
      </w:r>
      <w:r w:rsidR="00496764">
        <w:instrText>HYPERLINK "https://zakon.rada.gov.ua/laws/show/1178-2022-%D0%BF?find=1&amp;text=%D0%BD%D1%96%D0%BA%D1%87%D0%B5%D0%BC%D0%BD%D0%B8%D0%B9+%D0%B4%D0%BE%D0%B3%D0%BE%D0%B2%D1%96%D1%80" \l "n170"</w:instrText>
      </w:r>
      <w:r w:rsidR="00496764">
        <w:fldChar w:fldCharType="separate"/>
      </w:r>
      <w:r w:rsidRPr="003E3CA9">
        <w:rPr>
          <w:rStyle w:val="a6"/>
          <w:color w:val="006600"/>
        </w:rPr>
        <w:t>четвертим</w:t>
      </w:r>
      <w:proofErr w:type="spellEnd"/>
      <w:r w:rsidR="00496764">
        <w:fldChar w:fldCharType="end"/>
      </w:r>
      <w:r w:rsidRPr="003E3CA9">
        <w:rPr>
          <w:color w:val="333333"/>
        </w:rPr>
        <w:t xml:space="preserve"> пункту 46  </w:t>
      </w:r>
      <w:r w:rsidR="001B1383" w:rsidRPr="003E3CA9">
        <w:rPr>
          <w:color w:val="333333"/>
          <w:lang w:val="uk-UA"/>
        </w:rPr>
        <w:t>О</w:t>
      </w:r>
      <w:proofErr w:type="spellStart"/>
      <w:r w:rsidRPr="003E3CA9">
        <w:rPr>
          <w:color w:val="333333"/>
        </w:rPr>
        <w:t>собливостей</w:t>
      </w:r>
      <w:proofErr w:type="spellEnd"/>
      <w:r w:rsidRPr="003E3CA9">
        <w:rPr>
          <w:color w:val="333333"/>
        </w:rPr>
        <w:t xml:space="preserve">, </w:t>
      </w:r>
      <w:proofErr w:type="spellStart"/>
      <w:r w:rsidRPr="003E3CA9">
        <w:rPr>
          <w:color w:val="333333"/>
        </w:rPr>
        <w:t>крім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випадків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зупинення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перебігу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строкі</w:t>
      </w:r>
      <w:proofErr w:type="gramStart"/>
      <w:r w:rsidRPr="003E3CA9">
        <w:rPr>
          <w:color w:val="333333"/>
        </w:rPr>
        <w:t>в</w:t>
      </w:r>
      <w:proofErr w:type="spellEnd"/>
      <w:proofErr w:type="gramEnd"/>
      <w:r w:rsidRPr="003E3CA9">
        <w:rPr>
          <w:color w:val="333333"/>
        </w:rPr>
        <w:t xml:space="preserve"> у </w:t>
      </w:r>
      <w:proofErr w:type="spellStart"/>
      <w:r w:rsidRPr="003E3CA9">
        <w:rPr>
          <w:color w:val="333333"/>
        </w:rPr>
        <w:t>зв’язку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з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розглядом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скарги</w:t>
      </w:r>
      <w:proofErr w:type="spellEnd"/>
      <w:r w:rsidRPr="003E3CA9">
        <w:rPr>
          <w:color w:val="333333"/>
        </w:rPr>
        <w:t xml:space="preserve"> </w:t>
      </w:r>
      <w:proofErr w:type="gramStart"/>
      <w:r w:rsidRPr="003E3CA9">
        <w:rPr>
          <w:color w:val="333333"/>
        </w:rPr>
        <w:t>органом</w:t>
      </w:r>
      <w:proofErr w:type="gram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оскарження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відповідно</w:t>
      </w:r>
      <w:proofErr w:type="spellEnd"/>
      <w:r w:rsidRPr="003E3CA9">
        <w:rPr>
          <w:color w:val="333333"/>
        </w:rPr>
        <w:t xml:space="preserve"> до </w:t>
      </w:r>
      <w:proofErr w:type="spellStart"/>
      <w:r w:rsidR="00496764">
        <w:fldChar w:fldCharType="begin"/>
      </w:r>
      <w:r w:rsidR="00496764">
        <w:instrText>HYPERLINK "https://zakon.rada.gov.ua/laws/show/922-19" \l "n1284" \t "_blank"</w:instrText>
      </w:r>
      <w:r w:rsidR="00496764">
        <w:fldChar w:fldCharType="separate"/>
      </w:r>
      <w:r w:rsidRPr="003E3CA9">
        <w:rPr>
          <w:rStyle w:val="a6"/>
          <w:color w:val="000099"/>
        </w:rPr>
        <w:t>статті</w:t>
      </w:r>
      <w:proofErr w:type="spellEnd"/>
      <w:r w:rsidRPr="003E3CA9">
        <w:rPr>
          <w:rStyle w:val="a6"/>
          <w:color w:val="000099"/>
        </w:rPr>
        <w:t xml:space="preserve"> 18</w:t>
      </w:r>
      <w:r w:rsidR="00496764">
        <w:fldChar w:fldCharType="end"/>
      </w:r>
      <w:r w:rsidRPr="003E3CA9">
        <w:rPr>
          <w:color w:val="333333"/>
        </w:rPr>
        <w:t xml:space="preserve"> Закону </w:t>
      </w:r>
      <w:proofErr w:type="spellStart"/>
      <w:r w:rsidRPr="003E3CA9">
        <w:rPr>
          <w:color w:val="333333"/>
        </w:rPr>
        <w:t>з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урахуванням</w:t>
      </w:r>
      <w:proofErr w:type="spellEnd"/>
      <w:r w:rsidRPr="003E3CA9">
        <w:rPr>
          <w:color w:val="333333"/>
        </w:rPr>
        <w:t xml:space="preserve">  </w:t>
      </w:r>
      <w:r w:rsidR="00CA1577" w:rsidRPr="003E3CA9">
        <w:rPr>
          <w:color w:val="333333"/>
          <w:lang w:val="uk-UA"/>
        </w:rPr>
        <w:t>О</w:t>
      </w:r>
      <w:proofErr w:type="spellStart"/>
      <w:r w:rsidRPr="003E3CA9">
        <w:rPr>
          <w:color w:val="333333"/>
        </w:rPr>
        <w:t>собливостей</w:t>
      </w:r>
      <w:proofErr w:type="spellEnd"/>
      <w:r w:rsidRPr="003E3CA9">
        <w:rPr>
          <w:color w:val="333333"/>
        </w:rPr>
        <w:t>;</w:t>
      </w:r>
    </w:p>
    <w:p w:rsidR="00604392" w:rsidRPr="003E3CA9" w:rsidRDefault="00604392" w:rsidP="00604392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</w:rPr>
      </w:pPr>
      <w:bookmarkStart w:id="3" w:name="n99"/>
      <w:bookmarkEnd w:id="3"/>
      <w:r w:rsidRPr="003E3CA9">
        <w:rPr>
          <w:color w:val="333333"/>
        </w:rPr>
        <w:t xml:space="preserve">5) коли </w:t>
      </w:r>
      <w:proofErr w:type="spellStart"/>
      <w:r w:rsidRPr="003E3CA9">
        <w:rPr>
          <w:color w:val="333333"/>
        </w:rPr>
        <w:t>найменування</w:t>
      </w:r>
      <w:proofErr w:type="spellEnd"/>
      <w:r w:rsidRPr="003E3CA9">
        <w:rPr>
          <w:color w:val="333333"/>
        </w:rPr>
        <w:t xml:space="preserve"> предмета </w:t>
      </w:r>
      <w:proofErr w:type="spellStart"/>
      <w:r w:rsidRPr="003E3CA9">
        <w:rPr>
          <w:color w:val="333333"/>
        </w:rPr>
        <w:t>закупі</w:t>
      </w:r>
      <w:proofErr w:type="gramStart"/>
      <w:r w:rsidRPr="003E3CA9">
        <w:rPr>
          <w:color w:val="333333"/>
        </w:rPr>
        <w:t>вл</w:t>
      </w:r>
      <w:proofErr w:type="gramEnd"/>
      <w:r w:rsidRPr="003E3CA9">
        <w:rPr>
          <w:color w:val="333333"/>
        </w:rPr>
        <w:t>і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із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зазначенням</w:t>
      </w:r>
      <w:proofErr w:type="spellEnd"/>
      <w:r w:rsidRPr="003E3CA9">
        <w:rPr>
          <w:color w:val="333333"/>
        </w:rPr>
        <w:t xml:space="preserve"> коду за </w:t>
      </w:r>
      <w:proofErr w:type="spellStart"/>
      <w:r w:rsidRPr="003E3CA9">
        <w:rPr>
          <w:color w:val="333333"/>
        </w:rPr>
        <w:t>Єдиним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закупівельним</w:t>
      </w:r>
      <w:proofErr w:type="spellEnd"/>
      <w:r w:rsidRPr="003E3CA9">
        <w:rPr>
          <w:color w:val="333333"/>
        </w:rPr>
        <w:t xml:space="preserve"> словником не </w:t>
      </w:r>
      <w:proofErr w:type="spellStart"/>
      <w:r w:rsidRPr="003E3CA9">
        <w:rPr>
          <w:color w:val="333333"/>
        </w:rPr>
        <w:t>відповідає</w:t>
      </w:r>
      <w:proofErr w:type="spellEnd"/>
      <w:r w:rsidRPr="003E3CA9">
        <w:rPr>
          <w:color w:val="333333"/>
        </w:rPr>
        <w:t xml:space="preserve"> товарам, роботам </w:t>
      </w:r>
      <w:proofErr w:type="spellStart"/>
      <w:r w:rsidRPr="003E3CA9">
        <w:rPr>
          <w:color w:val="333333"/>
        </w:rPr>
        <w:t>чи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послугам</w:t>
      </w:r>
      <w:proofErr w:type="spellEnd"/>
      <w:r w:rsidRPr="003E3CA9">
        <w:rPr>
          <w:color w:val="333333"/>
        </w:rPr>
        <w:t xml:space="preserve">, </w:t>
      </w:r>
      <w:proofErr w:type="spellStart"/>
      <w:r w:rsidRPr="003E3CA9">
        <w:rPr>
          <w:color w:val="333333"/>
        </w:rPr>
        <w:t>що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фактично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закуплені</w:t>
      </w:r>
      <w:proofErr w:type="spellEnd"/>
      <w:r w:rsidRPr="003E3CA9">
        <w:rPr>
          <w:color w:val="333333"/>
        </w:rPr>
        <w:t xml:space="preserve"> </w:t>
      </w:r>
      <w:proofErr w:type="spellStart"/>
      <w:r w:rsidRPr="003E3CA9">
        <w:rPr>
          <w:color w:val="333333"/>
        </w:rPr>
        <w:t>замовником</w:t>
      </w:r>
      <w:proofErr w:type="spellEnd"/>
      <w:r w:rsidRPr="003E3CA9">
        <w:rPr>
          <w:color w:val="333333"/>
        </w:rPr>
        <w:t>.</w:t>
      </w:r>
    </w:p>
    <w:p w:rsidR="00604392" w:rsidRPr="005F6164" w:rsidRDefault="00604392" w:rsidP="003227CA">
      <w:pPr>
        <w:pStyle w:val="a4"/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Статус платників податку.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12.1. Постачальник є платником податку на додану вартість. 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Замовник не є платником податку на додану вартість.</w:t>
      </w:r>
    </w:p>
    <w:p w:rsidR="00132FE8" w:rsidRPr="003E3CA9" w:rsidRDefault="00132FE8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12.2. Якщо одна із Сторін змінить статус платника податку під час дії цього Договору, вона зобов’язана негайно повідомити письмово про такі зміни іншу сторону.  </w:t>
      </w:r>
    </w:p>
    <w:p w:rsidR="00086187" w:rsidRPr="003E3CA9" w:rsidRDefault="00086187" w:rsidP="00132F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6187" w:rsidRPr="003E3CA9" w:rsidRDefault="00086187" w:rsidP="00086187">
      <w:pPr>
        <w:pStyle w:val="a4"/>
        <w:tabs>
          <w:tab w:val="left" w:pos="567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E3CA9">
        <w:rPr>
          <w:rFonts w:ascii="Times New Roman" w:hAnsi="Times New Roman"/>
          <w:b/>
          <w:bCs/>
          <w:sz w:val="24"/>
          <w:szCs w:val="24"/>
          <w:lang w:val="uk-UA"/>
        </w:rPr>
        <w:t>XIIІ. Антикорупційне застереження</w:t>
      </w:r>
    </w:p>
    <w:p w:rsidR="00086187" w:rsidRPr="003E3CA9" w:rsidRDefault="00086187" w:rsidP="00086187">
      <w:pPr>
        <w:pStyle w:val="a4"/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3E3CA9">
        <w:rPr>
          <w:rFonts w:ascii="Times New Roman" w:hAnsi="Times New Roman"/>
          <w:sz w:val="24"/>
          <w:szCs w:val="24"/>
          <w:lang w:val="uk-UA"/>
        </w:rPr>
        <w:lastRenderedPageBreak/>
        <w:t xml:space="preserve">13.1.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</w:t>
      </w:r>
      <w:proofErr w:type="spellStart"/>
      <w:r w:rsidRPr="003E3CA9">
        <w:rPr>
          <w:rFonts w:ascii="Times New Roman" w:hAnsi="Times New Roman"/>
          <w:sz w:val="24"/>
          <w:szCs w:val="24"/>
          <w:lang w:val="uk-UA"/>
        </w:rPr>
        <w:t>необіжними</w:t>
      </w:r>
      <w:proofErr w:type="spellEnd"/>
      <w:r w:rsidRPr="003E3CA9">
        <w:rPr>
          <w:rFonts w:ascii="Times New Roman" w:hAnsi="Times New Roman"/>
          <w:sz w:val="24"/>
          <w:szCs w:val="24"/>
          <w:lang w:val="uk-UA"/>
        </w:rPr>
        <w:t xml:space="preserve">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 w:rsidRPr="003E3CA9">
        <w:rPr>
          <w:rFonts w:ascii="Times New Roman" w:hAnsi="Times New Roman"/>
          <w:sz w:val="24"/>
          <w:szCs w:val="24"/>
          <w:lang w:val="uk-UA"/>
        </w:rPr>
        <w:t>негрошового</w:t>
      </w:r>
      <w:proofErr w:type="spellEnd"/>
      <w:r w:rsidRPr="003E3CA9">
        <w:rPr>
          <w:rFonts w:ascii="Times New Roman" w:hAnsi="Times New Roman"/>
          <w:sz w:val="24"/>
          <w:szCs w:val="24"/>
          <w:lang w:val="uk-UA"/>
        </w:rPr>
        <w:t xml:space="preserve"> характеру без законних на те підстав) прямо або опосередковано будь-яким особам / від будь-яких осіб за вчинення чи </w:t>
      </w:r>
      <w:proofErr w:type="spellStart"/>
      <w:r w:rsidRPr="003E3CA9">
        <w:rPr>
          <w:rFonts w:ascii="Times New Roman" w:hAnsi="Times New Roman"/>
          <w:sz w:val="24"/>
          <w:szCs w:val="24"/>
          <w:lang w:val="uk-UA"/>
        </w:rPr>
        <w:t>невчинення</w:t>
      </w:r>
      <w:proofErr w:type="spellEnd"/>
      <w:r w:rsidRPr="003E3CA9">
        <w:rPr>
          <w:rFonts w:ascii="Times New Roman" w:hAnsi="Times New Roman"/>
          <w:sz w:val="24"/>
          <w:szCs w:val="24"/>
          <w:lang w:val="uk-UA"/>
        </w:rPr>
        <w:t xml:space="preserve"> такою особою будь-яких дій з метою отримання неправомірної вигоди (обіцянки неправомірної вигоди) від таких осіб.</w:t>
      </w:r>
    </w:p>
    <w:p w:rsidR="00086187" w:rsidRPr="003E3CA9" w:rsidRDefault="00086187" w:rsidP="00086187">
      <w:pPr>
        <w:pStyle w:val="a4"/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3E3CA9">
        <w:rPr>
          <w:rFonts w:ascii="Times New Roman" w:hAnsi="Times New Roman"/>
          <w:sz w:val="24"/>
          <w:szCs w:val="24"/>
          <w:lang w:val="uk-UA"/>
        </w:rPr>
        <w:t>13.2.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086187" w:rsidRPr="003E3CA9" w:rsidRDefault="00086187" w:rsidP="00132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2FE8" w:rsidRPr="003E3CA9" w:rsidRDefault="00132FE8" w:rsidP="00132F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="00086187" w:rsidRPr="003E3C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Додатки до договору</w:t>
      </w:r>
    </w:p>
    <w:p w:rsidR="00086187" w:rsidRPr="003E3CA9" w:rsidRDefault="00086187" w:rsidP="001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2FE8" w:rsidRPr="003E3CA9" w:rsidRDefault="00132FE8" w:rsidP="00132F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086187" w:rsidRPr="003E3C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. Невід'ємною частиною цього Договору є:Специфікація (Додаток № 1);</w:t>
      </w:r>
    </w:p>
    <w:p w:rsidR="00132FE8" w:rsidRPr="003E3CA9" w:rsidRDefault="00132FE8" w:rsidP="00132FE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2FE8" w:rsidRPr="003E3CA9" w:rsidRDefault="00132FE8" w:rsidP="00132F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86187" w:rsidRPr="003E3C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Місцезнаходження та банківські реквізити Сторін</w:t>
      </w:r>
    </w:p>
    <w:p w:rsidR="00132FE8" w:rsidRPr="003E3CA9" w:rsidRDefault="00132FE8" w:rsidP="00132F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678"/>
      </w:tblGrid>
      <w:tr w:rsidR="00132FE8" w:rsidRPr="003E3CA9" w:rsidTr="00E918C2">
        <w:tc>
          <w:tcPr>
            <w:tcW w:w="4820" w:type="dxa"/>
            <w:shd w:val="clear" w:color="auto" w:fill="auto"/>
          </w:tcPr>
          <w:p w:rsidR="00132FE8" w:rsidRPr="003E3CA9" w:rsidRDefault="00132FE8" w:rsidP="00E918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3CA9">
              <w:rPr>
                <w:rFonts w:ascii="Times New Roman" w:hAnsi="Times New Roman" w:cs="Times New Roman"/>
                <w:b/>
                <w:lang w:val="uk-UA"/>
              </w:rPr>
              <w:t>Замовник</w:t>
            </w:r>
          </w:p>
        </w:tc>
        <w:tc>
          <w:tcPr>
            <w:tcW w:w="4678" w:type="dxa"/>
            <w:shd w:val="clear" w:color="auto" w:fill="auto"/>
          </w:tcPr>
          <w:p w:rsidR="00132FE8" w:rsidRPr="003E3CA9" w:rsidRDefault="00132FE8" w:rsidP="00E918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3CA9">
              <w:rPr>
                <w:rFonts w:ascii="Times New Roman" w:hAnsi="Times New Roman" w:cs="Times New Roman"/>
                <w:b/>
                <w:lang w:val="uk-UA"/>
              </w:rPr>
              <w:t>Постачальник</w:t>
            </w:r>
          </w:p>
        </w:tc>
      </w:tr>
      <w:tr w:rsidR="00132FE8" w:rsidRPr="003E3CA9" w:rsidTr="00E918C2">
        <w:tc>
          <w:tcPr>
            <w:tcW w:w="4820" w:type="dxa"/>
            <w:shd w:val="clear" w:color="auto" w:fill="auto"/>
          </w:tcPr>
          <w:p w:rsidR="00132FE8" w:rsidRPr="003E3CA9" w:rsidRDefault="00132FE8" w:rsidP="00E918C2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132FE8" w:rsidRPr="003E3CA9" w:rsidRDefault="00132FE8" w:rsidP="00E918C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32FE8" w:rsidRPr="003E3CA9" w:rsidTr="00E918C2">
        <w:tc>
          <w:tcPr>
            <w:tcW w:w="4820" w:type="dxa"/>
            <w:shd w:val="clear" w:color="auto" w:fill="auto"/>
          </w:tcPr>
          <w:p w:rsidR="00132FE8" w:rsidRPr="003E3CA9" w:rsidRDefault="00132FE8" w:rsidP="00E918C2">
            <w:pPr>
              <w:rPr>
                <w:rFonts w:ascii="Times New Roman" w:hAnsi="Times New Roman" w:cs="Times New Roman"/>
                <w:lang w:val="uk-UA"/>
              </w:rPr>
            </w:pPr>
          </w:p>
          <w:p w:rsidR="00132FE8" w:rsidRPr="003E3CA9" w:rsidRDefault="00132FE8" w:rsidP="00E918C2">
            <w:pPr>
              <w:rPr>
                <w:rFonts w:ascii="Times New Roman" w:hAnsi="Times New Roman" w:cs="Times New Roman"/>
                <w:lang w:val="uk-UA"/>
              </w:rPr>
            </w:pPr>
            <w:r w:rsidRPr="003E3CA9">
              <w:rPr>
                <w:rFonts w:ascii="Times New Roman" w:hAnsi="Times New Roman" w:cs="Times New Roman"/>
                <w:bCs/>
                <w:lang w:val="uk-UA"/>
              </w:rPr>
              <w:t>Директор_____________</w:t>
            </w:r>
          </w:p>
        </w:tc>
        <w:tc>
          <w:tcPr>
            <w:tcW w:w="4678" w:type="dxa"/>
            <w:shd w:val="clear" w:color="auto" w:fill="auto"/>
          </w:tcPr>
          <w:p w:rsidR="00132FE8" w:rsidRPr="003E3CA9" w:rsidRDefault="00132FE8" w:rsidP="00E918C2">
            <w:pPr>
              <w:rPr>
                <w:rFonts w:ascii="Times New Roman" w:hAnsi="Times New Roman" w:cs="Times New Roman"/>
                <w:lang w:val="uk-UA"/>
              </w:rPr>
            </w:pPr>
          </w:p>
          <w:p w:rsidR="00132FE8" w:rsidRPr="003E3CA9" w:rsidRDefault="00132FE8" w:rsidP="00E918C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F6164" w:rsidRDefault="005F6164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63AB5" w:rsidRDefault="00E63A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132FE8" w:rsidRPr="003E3CA9" w:rsidRDefault="00132FE8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Додаток № 1 </w:t>
      </w:r>
    </w:p>
    <w:p w:rsidR="00132FE8" w:rsidRPr="003E3CA9" w:rsidRDefault="00132FE8" w:rsidP="00132FE8">
      <w:pPr>
        <w:keepNext/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CA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proofErr w:type="spellStart"/>
      <w:r w:rsidRPr="003E3CA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Договору№</w:t>
      </w:r>
      <w:proofErr w:type="spellEnd"/>
      <w:r w:rsidRPr="003E3CA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___  </w:t>
      </w:r>
    </w:p>
    <w:p w:rsidR="00132FE8" w:rsidRPr="003E3CA9" w:rsidRDefault="00132FE8" w:rsidP="00132FE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 “___” _______ 20</w:t>
      </w:r>
      <w:r w:rsidRPr="003E3CA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E3CA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2р.</w:t>
      </w:r>
    </w:p>
    <w:p w:rsidR="00132FE8" w:rsidRPr="003E3CA9" w:rsidRDefault="00132FE8" w:rsidP="00132FE8">
      <w:pPr>
        <w:keepNext/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Специфікація </w:t>
      </w:r>
    </w:p>
    <w:p w:rsidR="00132FE8" w:rsidRPr="003E3CA9" w:rsidRDefault="00132FE8" w:rsidP="00132FE8">
      <w:pPr>
        <w:keepNext/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uk-UA"/>
        </w:rPr>
      </w:pPr>
      <w:r w:rsidRPr="003E3CA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uk-UA"/>
        </w:rPr>
        <w:t>_____________________________________</w:t>
      </w:r>
    </w:p>
    <w:p w:rsidR="00132FE8" w:rsidRPr="003E3CA9" w:rsidRDefault="00132FE8" w:rsidP="00132FE8">
      <w:pPr>
        <w:keepNext/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923" w:type="dxa"/>
        <w:tblInd w:w="-431" w:type="dxa"/>
        <w:tblLayout w:type="fixed"/>
        <w:tblLook w:val="04A0"/>
      </w:tblPr>
      <w:tblGrid>
        <w:gridCol w:w="540"/>
        <w:gridCol w:w="452"/>
        <w:gridCol w:w="992"/>
        <w:gridCol w:w="285"/>
        <w:gridCol w:w="992"/>
        <w:gridCol w:w="1598"/>
        <w:gridCol w:w="1237"/>
        <w:gridCol w:w="992"/>
        <w:gridCol w:w="1276"/>
        <w:gridCol w:w="1559"/>
      </w:tblGrid>
      <w:tr w:rsidR="003227CA" w:rsidRPr="003E3CA9" w:rsidTr="00E01CD4">
        <w:trPr>
          <w:cantSplit/>
          <w:trHeight w:val="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 w:bidi="hi-IN"/>
              </w:rPr>
            </w:pPr>
            <w:r w:rsidRPr="003E3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 w:bidi="hi-IN"/>
              </w:rPr>
            </w:pPr>
            <w:r w:rsidRPr="003E3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предмету закупівель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491EE7" w:rsidP="00E918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3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E01CD4" w:rsidP="00E918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Виробник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 w:bidi="hi-IN"/>
              </w:rPr>
            </w:pPr>
            <w:r w:rsidRPr="003E3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Один.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 w:bidi="hi-IN"/>
              </w:rPr>
            </w:pPr>
            <w:proofErr w:type="spellStart"/>
            <w:r w:rsidRPr="003E3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 w:bidi="hi-IN"/>
              </w:rPr>
            </w:pPr>
            <w:r w:rsidRPr="003E3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Ціна за од., грн.,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 w:bidi="hi-IN"/>
              </w:rPr>
            </w:pPr>
            <w:r w:rsidRPr="003E3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Сума, грн., без ПДВ</w:t>
            </w:r>
          </w:p>
        </w:tc>
      </w:tr>
      <w:tr w:rsidR="003227CA" w:rsidRPr="003E3CA9" w:rsidTr="00E01CD4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7CA" w:rsidRPr="003E3CA9" w:rsidRDefault="003227CA" w:rsidP="00E918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7CA" w:rsidRPr="003E3CA9" w:rsidRDefault="003227CA" w:rsidP="00E918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7CA" w:rsidRPr="003E3CA9" w:rsidRDefault="003227CA" w:rsidP="00E918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CA" w:rsidRPr="003E3CA9" w:rsidRDefault="003227CA" w:rsidP="00E9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227CA" w:rsidRPr="003E3CA9" w:rsidTr="00E01CD4">
        <w:trPr>
          <w:cantSplit/>
          <w:trHeight w:val="3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hi-IN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7CA" w:rsidRPr="003E3CA9" w:rsidRDefault="003227CA" w:rsidP="00E918C2">
            <w:pPr>
              <w:spacing w:line="240" w:lineRule="auto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</w:tr>
      <w:tr w:rsidR="003227CA" w:rsidRPr="003E3CA9" w:rsidTr="00E01CD4">
        <w:trPr>
          <w:cantSplit/>
          <w:trHeight w:val="3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hi-IN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7CA" w:rsidRPr="003E3CA9" w:rsidRDefault="003227CA" w:rsidP="00E918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</w:tr>
      <w:tr w:rsidR="003227CA" w:rsidRPr="003E3CA9" w:rsidTr="003227CA">
        <w:trPr>
          <w:cantSplit/>
          <w:trHeight w:val="315"/>
        </w:trPr>
        <w:tc>
          <w:tcPr>
            <w:tcW w:w="992" w:type="dxa"/>
            <w:gridSpan w:val="2"/>
            <w:tcBorders>
              <w:top w:val="single" w:sz="4" w:space="0" w:color="000000"/>
              <w:right w:val="nil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  <w:gridSpan w:val="6"/>
            <w:tcBorders>
              <w:top w:val="single" w:sz="4" w:space="0" w:color="000000"/>
              <w:right w:val="nil"/>
            </w:tcBorders>
            <w:vAlign w:val="center"/>
          </w:tcPr>
          <w:p w:rsidR="003227CA" w:rsidRPr="003E3CA9" w:rsidRDefault="003227CA" w:rsidP="00E918C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 w:bidi="hi-IN"/>
              </w:rPr>
            </w:pPr>
            <w:r w:rsidRPr="003E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без ПДВ 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3227CA" w:rsidRPr="003E3CA9" w:rsidTr="003227CA">
        <w:trPr>
          <w:cantSplit/>
          <w:trHeight w:val="315"/>
        </w:trPr>
        <w:tc>
          <w:tcPr>
            <w:tcW w:w="992" w:type="dxa"/>
            <w:gridSpan w:val="2"/>
            <w:tcBorders>
              <w:right w:val="nil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227CA" w:rsidRPr="003E3CA9" w:rsidRDefault="003227CA" w:rsidP="00E918C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  <w:gridSpan w:val="6"/>
            <w:tcBorders>
              <w:right w:val="nil"/>
            </w:tcBorders>
            <w:vAlign w:val="center"/>
          </w:tcPr>
          <w:p w:rsidR="003227CA" w:rsidRPr="003E3CA9" w:rsidRDefault="003227CA" w:rsidP="00E918C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3227CA" w:rsidRPr="003E3CA9" w:rsidTr="003227CA">
        <w:trPr>
          <w:cantSplit/>
          <w:trHeight w:val="315"/>
        </w:trPr>
        <w:tc>
          <w:tcPr>
            <w:tcW w:w="992" w:type="dxa"/>
            <w:gridSpan w:val="2"/>
            <w:tcBorders>
              <w:right w:val="nil"/>
            </w:tcBorders>
          </w:tcPr>
          <w:p w:rsidR="003227CA" w:rsidRPr="003E3CA9" w:rsidRDefault="003227CA" w:rsidP="00E918C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227CA" w:rsidRPr="003E3CA9" w:rsidRDefault="003227CA" w:rsidP="00E918C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  <w:gridSpan w:val="6"/>
            <w:tcBorders>
              <w:right w:val="nil"/>
            </w:tcBorders>
            <w:vAlign w:val="center"/>
          </w:tcPr>
          <w:p w:rsidR="003227CA" w:rsidRPr="003E3CA9" w:rsidRDefault="003227CA" w:rsidP="00E918C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CA" w:rsidRPr="003E3CA9" w:rsidRDefault="003227CA" w:rsidP="00E918C2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 w:bidi="hi-IN"/>
              </w:rPr>
            </w:pPr>
          </w:p>
        </w:tc>
      </w:tr>
    </w:tbl>
    <w:p w:rsidR="00132FE8" w:rsidRPr="003E3CA9" w:rsidRDefault="00132FE8" w:rsidP="00132F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2FE8" w:rsidRPr="003E3CA9" w:rsidRDefault="00132FE8" w:rsidP="00132F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sz w:val="24"/>
          <w:szCs w:val="24"/>
          <w:lang w:val="uk-UA"/>
        </w:rPr>
        <w:t>Всього на суму:</w:t>
      </w:r>
    </w:p>
    <w:p w:rsidR="00132FE8" w:rsidRPr="003E3CA9" w:rsidRDefault="00132FE8" w:rsidP="00132F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</w:t>
      </w:r>
    </w:p>
    <w:p w:rsidR="00132FE8" w:rsidRPr="003E3CA9" w:rsidRDefault="00132FE8" w:rsidP="00132F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2FE8" w:rsidRPr="003E3CA9" w:rsidRDefault="00132FE8" w:rsidP="00132F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C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Місцезнаходження та банківські реквізити Сторін</w:t>
      </w:r>
    </w:p>
    <w:p w:rsidR="00132FE8" w:rsidRPr="003E3CA9" w:rsidRDefault="00132FE8" w:rsidP="00132F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2FE8" w:rsidRPr="003E3CA9" w:rsidRDefault="00132FE8" w:rsidP="00132FE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678"/>
      </w:tblGrid>
      <w:tr w:rsidR="00132FE8" w:rsidRPr="003E3CA9" w:rsidTr="00E918C2">
        <w:tc>
          <w:tcPr>
            <w:tcW w:w="4820" w:type="dxa"/>
            <w:shd w:val="clear" w:color="auto" w:fill="auto"/>
          </w:tcPr>
          <w:p w:rsidR="00132FE8" w:rsidRPr="003E3CA9" w:rsidRDefault="00132FE8" w:rsidP="00E918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3CA9">
              <w:rPr>
                <w:rFonts w:ascii="Times New Roman" w:hAnsi="Times New Roman" w:cs="Times New Roman"/>
                <w:b/>
                <w:lang w:val="uk-UA"/>
              </w:rPr>
              <w:t>Замовник</w:t>
            </w:r>
          </w:p>
        </w:tc>
        <w:tc>
          <w:tcPr>
            <w:tcW w:w="4678" w:type="dxa"/>
            <w:shd w:val="clear" w:color="auto" w:fill="auto"/>
          </w:tcPr>
          <w:p w:rsidR="00132FE8" w:rsidRPr="003E3CA9" w:rsidRDefault="00132FE8" w:rsidP="00E918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3CA9">
              <w:rPr>
                <w:rFonts w:ascii="Times New Roman" w:hAnsi="Times New Roman" w:cs="Times New Roman"/>
                <w:b/>
                <w:lang w:val="uk-UA"/>
              </w:rPr>
              <w:t>Постачальник</w:t>
            </w:r>
          </w:p>
        </w:tc>
      </w:tr>
      <w:tr w:rsidR="00132FE8" w:rsidRPr="003E3CA9" w:rsidTr="00E918C2">
        <w:tc>
          <w:tcPr>
            <w:tcW w:w="4820" w:type="dxa"/>
            <w:shd w:val="clear" w:color="auto" w:fill="auto"/>
          </w:tcPr>
          <w:p w:rsidR="00132FE8" w:rsidRPr="003E3CA9" w:rsidRDefault="00132FE8" w:rsidP="005F6164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132FE8" w:rsidRPr="003E3CA9" w:rsidRDefault="00132FE8" w:rsidP="00E918C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32FE8" w:rsidRPr="00546ACD" w:rsidTr="00E918C2">
        <w:tc>
          <w:tcPr>
            <w:tcW w:w="4820" w:type="dxa"/>
            <w:shd w:val="clear" w:color="auto" w:fill="auto"/>
          </w:tcPr>
          <w:p w:rsidR="00132FE8" w:rsidRPr="003E3CA9" w:rsidRDefault="00132FE8" w:rsidP="00E918C2">
            <w:pPr>
              <w:rPr>
                <w:rFonts w:ascii="Times New Roman" w:hAnsi="Times New Roman" w:cs="Times New Roman"/>
                <w:lang w:val="uk-UA"/>
              </w:rPr>
            </w:pPr>
          </w:p>
          <w:p w:rsidR="00132FE8" w:rsidRPr="00546ACD" w:rsidRDefault="00132FE8" w:rsidP="00E918C2">
            <w:pPr>
              <w:rPr>
                <w:rFonts w:ascii="Times New Roman" w:hAnsi="Times New Roman" w:cs="Times New Roman"/>
                <w:lang w:val="uk-UA"/>
              </w:rPr>
            </w:pPr>
            <w:r w:rsidRPr="003E3CA9">
              <w:rPr>
                <w:rFonts w:ascii="Times New Roman" w:hAnsi="Times New Roman" w:cs="Times New Roman"/>
                <w:bCs/>
                <w:lang w:val="uk-UA"/>
              </w:rPr>
              <w:t>Директор_____________</w:t>
            </w:r>
          </w:p>
        </w:tc>
        <w:tc>
          <w:tcPr>
            <w:tcW w:w="4678" w:type="dxa"/>
            <w:shd w:val="clear" w:color="auto" w:fill="auto"/>
          </w:tcPr>
          <w:p w:rsidR="00132FE8" w:rsidRPr="00546ACD" w:rsidRDefault="00132FE8" w:rsidP="00E918C2">
            <w:pPr>
              <w:rPr>
                <w:rFonts w:ascii="Times New Roman" w:hAnsi="Times New Roman" w:cs="Times New Roman"/>
                <w:lang w:val="uk-UA"/>
              </w:rPr>
            </w:pPr>
          </w:p>
          <w:p w:rsidR="00132FE8" w:rsidRPr="00546ACD" w:rsidRDefault="00132FE8" w:rsidP="00E918C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32FE8" w:rsidRPr="009B535D" w:rsidRDefault="00132FE8" w:rsidP="00132F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51"/>
          <w:tab w:val="left" w:pos="9251"/>
          <w:tab w:val="left" w:pos="9251"/>
          <w:tab w:val="left" w:pos="9251"/>
          <w:tab w:val="left" w:pos="9251"/>
          <w:tab w:val="left" w:pos="9251"/>
        </w:tabs>
        <w:contextualSpacing/>
        <w:rPr>
          <w:rStyle w:val="a3"/>
          <w:rFonts w:cs="Times New Roman"/>
          <w:b/>
          <w:bCs/>
          <w:sz w:val="22"/>
          <w:szCs w:val="22"/>
          <w:lang w:val="uk-UA"/>
        </w:rPr>
      </w:pPr>
    </w:p>
    <w:p w:rsidR="00132FE8" w:rsidRPr="009B535D" w:rsidRDefault="00132FE8" w:rsidP="00132F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51"/>
          <w:tab w:val="left" w:pos="9251"/>
          <w:tab w:val="left" w:pos="9251"/>
          <w:tab w:val="left" w:pos="9251"/>
          <w:tab w:val="left" w:pos="9251"/>
          <w:tab w:val="left" w:pos="9251"/>
        </w:tabs>
        <w:contextualSpacing/>
        <w:rPr>
          <w:rStyle w:val="a3"/>
          <w:rFonts w:cs="Times New Roman"/>
          <w:b/>
          <w:bCs/>
          <w:sz w:val="22"/>
          <w:szCs w:val="22"/>
          <w:lang w:val="uk-UA"/>
        </w:rPr>
      </w:pPr>
    </w:p>
    <w:p w:rsidR="003479D2" w:rsidRPr="00132FE8" w:rsidRDefault="003479D2">
      <w:pPr>
        <w:rPr>
          <w:rFonts w:ascii="Times New Roman" w:hAnsi="Times New Roman" w:cs="Times New Roman"/>
        </w:rPr>
      </w:pPr>
    </w:p>
    <w:sectPr w:rsidR="003479D2" w:rsidRPr="00132FE8" w:rsidSect="004967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32FE8"/>
    <w:rsid w:val="00086187"/>
    <w:rsid w:val="000D2585"/>
    <w:rsid w:val="000F33BC"/>
    <w:rsid w:val="00132FE8"/>
    <w:rsid w:val="00142A34"/>
    <w:rsid w:val="001B1383"/>
    <w:rsid w:val="00311C72"/>
    <w:rsid w:val="003227CA"/>
    <w:rsid w:val="003479D2"/>
    <w:rsid w:val="00395B93"/>
    <w:rsid w:val="003E3CA9"/>
    <w:rsid w:val="00491EE7"/>
    <w:rsid w:val="00496764"/>
    <w:rsid w:val="005F6164"/>
    <w:rsid w:val="00604392"/>
    <w:rsid w:val="00CA1577"/>
    <w:rsid w:val="00E01CD4"/>
    <w:rsid w:val="00E1357F"/>
    <w:rsid w:val="00E63AB5"/>
    <w:rsid w:val="00F6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E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2F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uk-UA"/>
    </w:rPr>
  </w:style>
  <w:style w:type="character" w:customStyle="1" w:styleId="a3">
    <w:name w:val="Нет"/>
    <w:rsid w:val="00132FE8"/>
  </w:style>
  <w:style w:type="character" w:customStyle="1" w:styleId="10">
    <w:name w:val="Название1"/>
    <w:basedOn w:val="a0"/>
    <w:rsid w:val="00132FE8"/>
  </w:style>
  <w:style w:type="paragraph" w:styleId="a4">
    <w:name w:val="Body Text"/>
    <w:aliases w:val="Çàã1,BO,ID,body indent,andrad,EHPT,Body Text2"/>
    <w:basedOn w:val="a"/>
    <w:link w:val="a5"/>
    <w:uiPriority w:val="99"/>
    <w:rsid w:val="003227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240" w:lineRule="auto"/>
      <w:jc w:val="both"/>
    </w:pPr>
    <w:rPr>
      <w:rFonts w:eastAsia="Times New Roman" w:cs="Times New Roman"/>
      <w:color w:val="auto"/>
      <w:sz w:val="20"/>
      <w:szCs w:val="20"/>
      <w:bdr w:val="none" w:sz="0" w:space="0" w:color="auto"/>
      <w:lang w:val="en-GB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99"/>
    <w:rsid w:val="003227CA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rvps2">
    <w:name w:val="rvps2"/>
    <w:basedOn w:val="a"/>
    <w:rsid w:val="006043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6">
    <w:name w:val="Hyperlink"/>
    <w:basedOn w:val="a0"/>
    <w:uiPriority w:val="99"/>
    <w:semiHidden/>
    <w:unhideWhenUsed/>
    <w:rsid w:val="00604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?find=1&amp;text=%D0%BD%D1%96%D0%BA%D1%87%D0%B5%D0%BC%D0%BD%D0%B8%D0%B9+%D0%B4%D0%BE%D0%B3%D0%BE%D0%B2%D1%96%D1%80" TargetMode="External"/><Relationship Id="rId5" Type="http://schemas.openxmlformats.org/officeDocument/2006/relationships/hyperlink" Target="https://zakon.rada.gov.ua/laws/show/1178-2022-%D0%BF?find=1&amp;text=%D0%BD%D1%96%D0%BA%D1%87%D0%B5%D0%BC%D0%BD%D0%B8%D0%B9+%D0%B4%D0%BE%D0%B3%D0%BE%D0%B2%D1%96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CBE4-1A63-41F7-8D25-7B072847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userpcone</cp:lastModifiedBy>
  <cp:revision>2</cp:revision>
  <dcterms:created xsi:type="dcterms:W3CDTF">2022-12-01T08:11:00Z</dcterms:created>
  <dcterms:modified xsi:type="dcterms:W3CDTF">2023-01-24T13:49:00Z</dcterms:modified>
</cp:coreProperties>
</file>