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64" w:firstLine="708"/>
        <w:jc w:val="center"/>
      </w:pPr>
      <w:r>
        <w:rPr>
          <w:b/>
          <w:iCs/>
          <w:lang w:val="uk-UA"/>
        </w:rPr>
        <w:t xml:space="preserve">     Додаток №5 до</w:t>
      </w:r>
    </w:p>
    <w:p>
      <w:pPr>
        <w:ind w:left="5664" w:firstLine="708"/>
        <w:jc w:val="center"/>
      </w:pPr>
      <w:r>
        <w:rPr>
          <w:b/>
          <w:iCs/>
          <w:lang w:val="uk-UA"/>
        </w:rPr>
        <w:t xml:space="preserve">Тендерної документації  </w:t>
      </w:r>
    </w:p>
    <w:p>
      <w:pPr>
        <w:pStyle w:val="42"/>
        <w:jc w:val="center"/>
      </w:pPr>
      <w:r>
        <w:rPr>
          <w:b/>
          <w:lang w:val="uk-UA"/>
        </w:rPr>
        <w:t xml:space="preserve"> ДОГОВІР</w:t>
      </w:r>
      <w:r>
        <w:rPr>
          <w:b/>
        </w:rPr>
        <w:t xml:space="preserve"> №</w:t>
      </w:r>
      <w:r>
        <w:rPr>
          <w:b/>
          <w:lang w:val="uk-UA"/>
        </w:rPr>
        <w:t xml:space="preserve"> ______</w:t>
      </w:r>
    </w:p>
    <w:p>
      <w:pPr>
        <w:pStyle w:val="42"/>
        <w:jc w:val="center"/>
      </w:pPr>
      <w:r>
        <w:rPr>
          <w:b/>
          <w:lang w:val="uk-UA"/>
        </w:rPr>
        <w:t>про закупівлю послуг</w:t>
      </w:r>
    </w:p>
    <w:p>
      <w:pPr>
        <w:pStyle w:val="42"/>
        <w:jc w:val="center"/>
        <w:rPr>
          <w:b/>
          <w:lang w:val="uk-UA"/>
        </w:rPr>
      </w:pPr>
    </w:p>
    <w:p>
      <w:pPr>
        <w:pStyle w:val="42"/>
        <w:jc w:val="both"/>
      </w:pPr>
      <w:r>
        <w:rPr>
          <w:b/>
          <w:color w:val="000000"/>
          <w:spacing w:val="-2"/>
          <w:lang w:val="uk-UA"/>
        </w:rPr>
        <w:t>м. Вознесенськ                                                                                «___»____________</w:t>
      </w:r>
      <w:r>
        <w:rPr>
          <w:b/>
          <w:color w:val="000000"/>
          <w:lang w:val="uk-UA"/>
        </w:rPr>
        <w:t xml:space="preserve">2022 року  </w:t>
      </w:r>
    </w:p>
    <w:p>
      <w:pPr>
        <w:pStyle w:val="42"/>
        <w:jc w:val="both"/>
      </w:pPr>
    </w:p>
    <w:p>
      <w:pPr>
        <w:pStyle w:val="42"/>
        <w:ind w:firstLine="709"/>
        <w:jc w:val="both"/>
      </w:pPr>
      <w:r>
        <w:rPr>
          <w:b/>
          <w:lang w:val="uk-UA"/>
        </w:rPr>
        <w:t xml:space="preserve">Управління житлово-комунального господарства та капітального будівництва Вознесенської  міської ради </w:t>
      </w:r>
      <w:r>
        <w:rPr>
          <w:bCs/>
          <w:lang w:val="uk-UA"/>
        </w:rPr>
        <w:t>(далі – Замовник),</w:t>
      </w:r>
      <w:r>
        <w:rPr>
          <w:lang w:val="uk-UA"/>
        </w:rPr>
        <w:t xml:space="preserve"> в особі _________________ ______________________, яка діє на підставі Положення</w:t>
      </w:r>
      <w:r>
        <w:rPr>
          <w:spacing w:val="5"/>
          <w:lang w:val="uk-UA"/>
        </w:rPr>
        <w:t>, з однієї сторони, і</w:t>
      </w:r>
    </w:p>
    <w:p>
      <w:pPr>
        <w:pStyle w:val="42"/>
        <w:ind w:firstLine="720"/>
        <w:jc w:val="both"/>
      </w:pPr>
      <w:r>
        <w:rPr>
          <w:b/>
          <w:bCs/>
          <w:spacing w:val="5"/>
          <w:lang w:val="uk-UA"/>
        </w:rPr>
        <w:t>______________________________________________________________</w:t>
      </w:r>
      <w:r>
        <w:rPr>
          <w:spacing w:val="4"/>
          <w:lang w:val="uk-UA"/>
        </w:rPr>
        <w:t xml:space="preserve"> в особі ___________________</w:t>
      </w:r>
      <w:r>
        <w:rPr>
          <w:lang w:val="uk-UA"/>
        </w:rPr>
        <w:t xml:space="preserve">, </w:t>
      </w:r>
      <w:r>
        <w:rPr>
          <w:spacing w:val="1"/>
          <w:lang w:val="uk-UA"/>
        </w:rPr>
        <w:t>що діє на підставі __________________________________(далі - Виконавець), з іншої сторони, разом іменовані – Сторони, уклали цей договір про таке (далі - Договір):</w:t>
      </w:r>
    </w:p>
    <w:p>
      <w:pPr>
        <w:pStyle w:val="42"/>
        <w:ind w:firstLine="720"/>
        <w:jc w:val="both"/>
        <w:rPr>
          <w:spacing w:val="1"/>
          <w:lang w:val="uk-UA"/>
        </w:rPr>
      </w:pPr>
    </w:p>
    <w:p>
      <w:pPr>
        <w:pStyle w:val="42"/>
        <w:jc w:val="center"/>
      </w:pPr>
      <w:r>
        <w:rPr>
          <w:b/>
          <w:bCs/>
          <w:lang w:val="uk-UA"/>
        </w:rPr>
        <w:t>І. ПРЕДМЕТ ДОГОВОРУ</w:t>
      </w:r>
    </w:p>
    <w:p>
      <w:pPr>
        <w:pStyle w:val="4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pPr>
        <w:ind w:firstLine="709"/>
        <w:jc w:val="both"/>
        <w:rPr>
          <w:b/>
          <w:bCs/>
          <w:lang w:val="uk-UA"/>
        </w:rPr>
      </w:pPr>
      <w:r>
        <w:rPr>
          <w:lang w:val="uk-UA"/>
        </w:rPr>
        <w:t xml:space="preserve">1.2. Найменування послуги: </w:t>
      </w:r>
      <w:r>
        <w:rPr>
          <w:b/>
        </w:rPr>
        <w:t>Послуги з аварійних, відновних робіт та експлуатаційного утримання вулиць і доріг комунальної власності (відновні роботи по вул.Танасчишина в м.Вознесенськ Миколаївської області)</w:t>
      </w:r>
      <w:r>
        <w:rPr>
          <w:lang w:val="uk-UA"/>
        </w:rPr>
        <w:t xml:space="preserve"> (ДК 021:2015 – 45230000-8 – Будівництво трубопроводів, ліній зв’язку та електропередач, шосе, доріг, аеродромів і залізничних доріг; вирівнювання поверхонь).</w:t>
      </w:r>
    </w:p>
    <w:p>
      <w:pPr>
        <w:tabs>
          <w:tab w:val="left" w:pos="426"/>
        </w:tabs>
        <w:ind w:firstLine="709"/>
        <w:jc w:val="both"/>
      </w:pPr>
      <w:r>
        <w:rPr>
          <w:lang w:val="uk-UA"/>
        </w:rPr>
        <w:t>Кількість послуг, які надаються за цим Договором: згідно Договірної ціни (тверда), яка є Додаток 1 до Договору.</w:t>
      </w:r>
    </w:p>
    <w:p>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pPr>
        <w:tabs>
          <w:tab w:val="left" w:pos="426"/>
        </w:tabs>
        <w:ind w:firstLine="709"/>
        <w:jc w:val="both"/>
      </w:pPr>
      <w:r>
        <w:rPr>
          <w:lang w:val="uk-UA"/>
        </w:rPr>
        <w:t xml:space="preserve">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2022 рік.    </w:t>
      </w:r>
    </w:p>
    <w:p>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p>
    <w:p>
      <w:pPr>
        <w:jc w:val="both"/>
        <w:rPr>
          <w:lang w:val="uk-UA"/>
        </w:rPr>
      </w:pPr>
    </w:p>
    <w:p>
      <w:pPr>
        <w:pStyle w:val="42"/>
        <w:jc w:val="center"/>
      </w:pPr>
      <w:r>
        <w:rPr>
          <w:b/>
          <w:lang w:val="uk-UA"/>
        </w:rPr>
        <w:t>ІІ. ЯКІСТЬ ПОСЛУГ</w:t>
      </w:r>
    </w:p>
    <w:p>
      <w:pPr>
        <w:pStyle w:val="43"/>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pPr>
        <w:pStyle w:val="11"/>
        <w:tabs>
          <w:tab w:val="left" w:pos="0"/>
        </w:tabs>
        <w:suppressAutoHyphens w:val="0"/>
        <w:spacing w:before="0" w:after="0" w:line="240" w:lineRule="auto"/>
        <w:ind w:right="-1"/>
        <w:jc w:val="both"/>
      </w:pPr>
      <w:r>
        <w:rPr>
          <w:bCs/>
          <w:lang w:val="uk-UA"/>
        </w:rPr>
        <w:tab/>
      </w:r>
      <w:r>
        <w:rPr>
          <w:bCs/>
          <w:lang w:val="uk-UA"/>
        </w:rPr>
        <w:t xml:space="preserve">2.2. </w:t>
      </w:r>
      <w:r>
        <w:rPr>
          <w:lang w:eastAsia="en-US"/>
        </w:rPr>
        <w:t xml:space="preserve">Гарантійний строк </w:t>
      </w:r>
      <w:r>
        <w:t xml:space="preserve">на </w:t>
      </w:r>
      <w:r>
        <w:rPr>
          <w:lang w:val="uk-UA"/>
        </w:rPr>
        <w:t>надані послуги</w:t>
      </w:r>
      <w:r>
        <w:t>, прямо передбачені дан</w:t>
      </w:r>
      <w:r>
        <w:rPr>
          <w:lang w:val="uk-UA"/>
        </w:rPr>
        <w:t>н</w:t>
      </w:r>
      <w:r>
        <w:t>им Договором,</w:t>
      </w:r>
      <w:r>
        <w:rPr>
          <w:lang w:eastAsia="en-US"/>
        </w:rPr>
        <w:t xml:space="preserve"> становить </w:t>
      </w:r>
      <w:r>
        <w:rPr>
          <w:lang w:val="uk-UA" w:eastAsia="en-US"/>
        </w:rPr>
        <w:t>________</w:t>
      </w:r>
      <w:r>
        <w:rPr>
          <w:lang w:val="uk-UA"/>
        </w:rPr>
        <w:t>____</w:t>
      </w:r>
      <w:r>
        <w:t>.</w:t>
      </w:r>
    </w:p>
    <w:p>
      <w:pPr>
        <w:tabs>
          <w:tab w:val="left" w:pos="0"/>
        </w:tabs>
        <w:ind w:right="-1"/>
        <w:jc w:val="both"/>
        <w:rPr>
          <w:lang w:val="uk-UA"/>
        </w:rPr>
      </w:pPr>
      <w:r>
        <w:rPr>
          <w:lang w:val="uk-UA"/>
        </w:rPr>
        <w:tab/>
      </w:r>
      <w:r>
        <w:rPr>
          <w:lang w:val="uk-UA"/>
        </w:rPr>
        <w:t>Перебіг гарантійних строків починається з моменту прийняття Замовником наданих послуг за Договором.</w:t>
      </w:r>
    </w:p>
    <w:p>
      <w:pPr>
        <w:widowControl w:val="0"/>
        <w:tabs>
          <w:tab w:val="left" w:pos="0"/>
        </w:tabs>
        <w:suppressAutoHyphens w:val="0"/>
        <w:autoSpaceDE w:val="0"/>
        <w:autoSpaceDN w:val="0"/>
        <w:adjustRightInd w:val="0"/>
        <w:ind w:right="-1"/>
        <w:jc w:val="both"/>
        <w:rPr>
          <w:lang w:val="uk-UA"/>
        </w:rPr>
      </w:pPr>
      <w:r>
        <w:rPr>
          <w:lang w:val="uk-UA"/>
        </w:rPr>
        <w:tab/>
      </w:r>
      <w:r>
        <w:rPr>
          <w:lang w:val="uk-UA"/>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pPr>
        <w:pStyle w:val="43"/>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послугдержавним стандартам</w:t>
      </w:r>
      <w:r>
        <w:rPr>
          <w:bCs/>
          <w:color w:val="000000"/>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pPr>
        <w:pStyle w:val="43"/>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pPr>
        <w:pStyle w:val="42"/>
        <w:jc w:val="center"/>
      </w:pPr>
      <w:r>
        <w:rPr>
          <w:b/>
          <w:bCs/>
          <w:lang w:val="uk-UA"/>
        </w:rPr>
        <w:t>ІІІ. ЦІНА ДОГОВОРУ</w:t>
      </w:r>
      <w:r>
        <w:rPr>
          <w:bCs/>
          <w:lang w:val="uk-UA"/>
        </w:rPr>
        <w:tab/>
      </w:r>
    </w:p>
    <w:p>
      <w:pPr>
        <w:pStyle w:val="42"/>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в т.ч. ПДВ/ без ПДВ.</w:t>
      </w:r>
    </w:p>
    <w:p>
      <w:pPr>
        <w:pStyle w:val="4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pPr>
        <w:pStyle w:val="42"/>
        <w:ind w:firstLine="720"/>
        <w:jc w:val="both"/>
      </w:pPr>
      <w:r>
        <w:rPr>
          <w:lang w:val="uk-UA"/>
        </w:rPr>
        <w:t>3.3. Ціна Договору встановлюється в національній валюті України - гривні.</w:t>
      </w:r>
    </w:p>
    <w:p>
      <w:pPr>
        <w:pStyle w:val="42"/>
        <w:ind w:firstLine="720"/>
        <w:jc w:val="both"/>
        <w:rPr>
          <w:b/>
          <w:bCs/>
          <w:color w:val="000000"/>
          <w:lang w:val="uk-UA"/>
        </w:rPr>
      </w:pPr>
    </w:p>
    <w:p>
      <w:pPr>
        <w:pStyle w:val="42"/>
        <w:jc w:val="center"/>
        <w:rPr>
          <w:lang w:val="uk-UA"/>
        </w:rPr>
      </w:pPr>
      <w:r>
        <w:rPr>
          <w:b/>
          <w:bCs/>
          <w:lang w:val="uk-UA"/>
        </w:rPr>
        <w:t>І</w:t>
      </w:r>
      <w:r>
        <w:rPr>
          <w:b/>
          <w:bCs/>
          <w:lang w:val="en-US"/>
        </w:rPr>
        <w:t>V</w:t>
      </w:r>
      <w:r>
        <w:rPr>
          <w:b/>
          <w:bCs/>
          <w:lang w:val="uk-UA"/>
        </w:rPr>
        <w:t>. ПОРЯДОК ЗДІЙСНЕННЯ ОПЛАТИ</w:t>
      </w:r>
    </w:p>
    <w:p>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35"/>
          <w:lang w:val="uk-UA"/>
        </w:rPr>
        <w:t>п</w:t>
      </w:r>
      <w:r>
        <w:rPr>
          <w:lang w:val="uk-UA"/>
        </w:rPr>
        <w:t xml:space="preserve">ідлягають. </w:t>
      </w:r>
    </w:p>
    <w:p>
      <w:pPr>
        <w:ind w:firstLine="709"/>
        <w:jc w:val="both"/>
        <w:rPr>
          <w:lang w:val="uk-UA"/>
        </w:rPr>
      </w:pPr>
      <w:r>
        <w:rPr>
          <w:lang w:val="uk-UA"/>
        </w:rPr>
        <w:t>4.2 Замовник відповідно до абз. 2 ч. 1 ст. 614 ЦКУ не несе відповідальності за відсутність замовленого фінансування з міського бюджету та непроведення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pPr>
        <w:tabs>
          <w:tab w:val="left" w:pos="1134"/>
        </w:tabs>
        <w:ind w:firstLine="709"/>
        <w:jc w:val="both"/>
      </w:pPr>
      <w:r>
        <w:rPr>
          <w:lang w:val="uk-UA"/>
        </w:rPr>
        <w:t>4.3. Розрахунки за надані послуги здійснюються Замовником за умови надходження фінансування з міського бюджету на оплату цих послуг.</w:t>
      </w:r>
    </w:p>
    <w:p>
      <w:pPr>
        <w:ind w:firstLine="709"/>
        <w:jc w:val="both"/>
        <w:rPr>
          <w:bCs/>
          <w:lang w:val="uk-UA"/>
        </w:rPr>
      </w:pPr>
    </w:p>
    <w:p>
      <w:pPr>
        <w:pStyle w:val="42"/>
        <w:jc w:val="center"/>
      </w:pPr>
      <w:r>
        <w:rPr>
          <w:b/>
          <w:bCs/>
          <w:lang w:val="en-US"/>
        </w:rPr>
        <w:t>V</w:t>
      </w:r>
      <w:r>
        <w:rPr>
          <w:b/>
          <w:bCs/>
          <w:lang w:val="uk-UA"/>
        </w:rPr>
        <w:t>. НАДАННЯ ПОСЛУГ</w:t>
      </w:r>
    </w:p>
    <w:p>
      <w:pPr>
        <w:pStyle w:val="42"/>
        <w:ind w:firstLine="720"/>
        <w:jc w:val="both"/>
        <w:rPr>
          <w:iCs/>
          <w:highlight w:val="none"/>
          <w:lang w:val="uk-UA"/>
        </w:rPr>
      </w:pPr>
      <w:r>
        <w:rPr>
          <w:lang w:val="uk-UA"/>
        </w:rPr>
        <w:t xml:space="preserve">5.1. Строк надання послуг: </w:t>
      </w:r>
      <w:r>
        <w:rPr>
          <w:b/>
          <w:bCs/>
          <w:iCs/>
          <w:highlight w:val="none"/>
          <w:lang w:val="uk-UA"/>
        </w:rPr>
        <w:t>грудень 2022 року.</w:t>
      </w:r>
    </w:p>
    <w:p>
      <w:pPr>
        <w:pStyle w:val="42"/>
        <w:jc w:val="both"/>
        <w:rPr>
          <w:i/>
          <w:lang w:val="uk-UA"/>
        </w:rPr>
      </w:pPr>
      <w:r>
        <w:rPr>
          <w:lang w:val="uk-UA"/>
        </w:rPr>
        <w:tab/>
      </w:r>
      <w:r>
        <w:rPr>
          <w:lang w:val="uk-UA"/>
        </w:rPr>
        <w:t xml:space="preserve">5.2. Місце надання послуг: </w:t>
      </w:r>
      <w:r>
        <w:rPr>
          <w:rFonts w:ascii="Times New Roman" w:hAnsi="Times New Roman" w:cs="Times New Roman"/>
          <w:b/>
          <w:shd w:val="clear" w:color="auto" w:fill="FDFEFD"/>
          <w:lang w:val="uk-UA" w:eastAsia="ru-RU"/>
        </w:rPr>
        <w:t xml:space="preserve">вул. </w:t>
      </w:r>
      <w:r>
        <w:rPr>
          <w:rFonts w:ascii="Times New Roman" w:hAnsi="Times New Roman" w:cs="Times New Roman"/>
          <w:b/>
          <w:lang w:val="uk-UA"/>
        </w:rPr>
        <w:t>Танасчишина</w:t>
      </w:r>
      <w:r>
        <w:rPr>
          <w:rFonts w:ascii="Times New Roman" w:hAnsi="Times New Roman" w:cs="Times New Roman"/>
          <w:b/>
          <w:bCs/>
        </w:rPr>
        <w:t xml:space="preserve"> в м.Вознесенськ Миколаївської області</w:t>
      </w:r>
      <w:r>
        <w:rPr>
          <w:rFonts w:ascii="Times New Roman" w:hAnsi="Times New Roman" w:cs="Times New Roman"/>
          <w:b/>
          <w:bCs/>
          <w:lang w:val="uk-UA"/>
        </w:rPr>
        <w:t>.</w:t>
      </w:r>
    </w:p>
    <w:p>
      <w:pPr>
        <w:pStyle w:val="42"/>
        <w:jc w:val="both"/>
        <w:rPr>
          <w:i/>
          <w:lang w:val="uk-UA"/>
        </w:rPr>
      </w:pPr>
      <w:r>
        <w:rPr>
          <w:i/>
          <w:lang w:val="uk-UA"/>
        </w:rPr>
        <w:tab/>
      </w:r>
      <w:r>
        <w:rPr>
          <w:iCs/>
          <w:lang w:val="uk-UA"/>
        </w:rPr>
        <w:t xml:space="preserve">5.3. Надання послуг повинно розпочинатися після отримання </w:t>
      </w:r>
      <w:r>
        <w:rPr>
          <w:rFonts w:ascii="Times New Roman" w:hAnsi="Times New Roman" w:cs="Times New Roman"/>
          <w:lang w:val="uk-UA"/>
        </w:rPr>
        <w:t>письмового доручення від Замовника або в телефонному режимі у подальшому з письмовим підтвердженням.</w:t>
      </w:r>
    </w:p>
    <w:p>
      <w:pPr>
        <w:pStyle w:val="42"/>
        <w:ind w:firstLine="709"/>
        <w:jc w:val="both"/>
      </w:pPr>
      <w:r>
        <w:rPr>
          <w:lang w:val="uk-UA"/>
        </w:rPr>
        <w:t>5.4. Об’єми послуг можуть зменшуватися залежно від виробничої необхідності та не зобов’язують Замовника замовляти послуги в повному обсязі.</w:t>
      </w:r>
    </w:p>
    <w:p>
      <w:pPr>
        <w:pStyle w:val="42"/>
        <w:ind w:firstLine="709"/>
        <w:jc w:val="both"/>
      </w:pPr>
      <w:r>
        <w:rPr>
          <w:lang w:val="uk-UA"/>
        </w:rPr>
        <w:t>5.5. Виконавець при наданні послуг повинен застосовувати заходи із захисту довкілля.</w:t>
      </w:r>
    </w:p>
    <w:p>
      <w:pPr>
        <w:ind w:firstLine="708"/>
        <w:jc w:val="both"/>
      </w:pPr>
      <w:r>
        <w:rPr>
          <w:lang w:val="uk-UA"/>
        </w:rPr>
        <w:t xml:space="preserve">5.6. Датою закінчення наданих послуг Виконавцем вважається дата їх прийняття Замовником, в порядку передбаченому розділом 6 цього Договору.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5.9.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pPr>
        <w:pStyle w:val="42"/>
        <w:ind w:firstLine="709"/>
        <w:jc w:val="both"/>
        <w:rPr>
          <w:lang w:val="uk-UA"/>
        </w:rPr>
      </w:pPr>
    </w:p>
    <w:p>
      <w:pPr>
        <w:ind w:firstLine="708"/>
        <w:jc w:val="center"/>
      </w:pPr>
      <w:r>
        <w:rPr>
          <w:b/>
          <w:caps/>
          <w:sz w:val="22"/>
          <w:szCs w:val="22"/>
          <w:lang w:val="en-US"/>
        </w:rPr>
        <w:t>VI</w:t>
      </w:r>
      <w:r>
        <w:rPr>
          <w:b/>
          <w:caps/>
          <w:sz w:val="22"/>
          <w:szCs w:val="22"/>
        </w:rPr>
        <w:t>.Порядок приймання-передачі наданих послуг</w:t>
      </w:r>
    </w:p>
    <w:p>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pPr>
        <w:ind w:firstLine="708"/>
        <w:jc w:val="both"/>
        <w:rPr>
          <w:sz w:val="22"/>
          <w:szCs w:val="22"/>
          <w:lang w:val="uk-UA"/>
        </w:rPr>
      </w:pPr>
    </w:p>
    <w:p>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pPr>
        <w:ind w:firstLine="708"/>
        <w:jc w:val="both"/>
      </w:pPr>
      <w:r>
        <w:rPr>
          <w:b/>
          <w:u w:val="single"/>
          <w:lang w:val="uk-UA"/>
        </w:rPr>
        <w:t>7.1</w:t>
      </w:r>
      <w:r>
        <w:rPr>
          <w:u w:val="single"/>
          <w:lang w:val="uk-UA"/>
        </w:rPr>
        <w:t xml:space="preserve">. </w:t>
      </w:r>
      <w:r>
        <w:rPr>
          <w:b/>
          <w:u w:val="single"/>
          <w:lang w:val="uk-UA"/>
        </w:rPr>
        <w:t>Замовник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pPr>
        <w:ind w:firstLine="708"/>
        <w:jc w:val="both"/>
      </w:pPr>
      <w:r>
        <w:rPr>
          <w:b/>
          <w:u w:val="single"/>
          <w:lang w:val="uk-UA"/>
        </w:rPr>
        <w:t>7.2.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pPr>
        <w:pStyle w:val="4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pPr>
        <w:ind w:firstLine="708"/>
        <w:jc w:val="both"/>
      </w:pPr>
      <w:r>
        <w:rPr>
          <w:b/>
          <w:u w:val="single"/>
          <w:lang w:val="uk-UA"/>
        </w:rPr>
        <w:t>7.3. Виконавець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End w:id="4"/>
      <w:bookmarkStart w:id="5" w:name="79"/>
      <w:bookmarkEnd w:id="5"/>
      <w:r>
        <w:rPr>
          <w:lang w:val="uk-UA"/>
        </w:rPr>
        <w:t>7.3.2. З</w:t>
      </w:r>
      <w:r>
        <w:rPr>
          <w:spacing w:val="4"/>
          <w:lang w:val="uk-UA"/>
        </w:rPr>
        <w:t>алучати до виконання послуг по даному Договору третіх осіб (субпідрядників)з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pPr>
        <w:widowControl w:val="0"/>
        <w:ind w:firstLine="708"/>
        <w:jc w:val="both"/>
        <w:rPr>
          <w:b/>
          <w:color w:val="00000A"/>
          <w:kern w:val="2"/>
          <w:lang w:eastAsia="uk-UA"/>
        </w:rPr>
      </w:pPr>
    </w:p>
    <w:p>
      <w:pPr>
        <w:ind w:firstLine="708"/>
        <w:jc w:val="center"/>
      </w:pPr>
      <w:r>
        <w:rPr>
          <w:b/>
          <w:sz w:val="22"/>
          <w:szCs w:val="22"/>
          <w:lang w:val="en-US"/>
        </w:rPr>
        <w:t>VIII</w:t>
      </w:r>
      <w:r>
        <w:rPr>
          <w:b/>
          <w:sz w:val="22"/>
          <w:szCs w:val="22"/>
        </w:rPr>
        <w:t>.КОНФІДЕНЦІЙНІСТЬ</w:t>
      </w:r>
    </w:p>
    <w:p>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pPr>
        <w:ind w:firstLine="708"/>
        <w:jc w:val="both"/>
        <w:rPr>
          <w:lang w:val="uk-UA"/>
        </w:rPr>
      </w:pPr>
    </w:p>
    <w:p>
      <w:pPr>
        <w:pStyle w:val="42"/>
        <w:jc w:val="center"/>
      </w:pPr>
      <w:r>
        <w:rPr>
          <w:b/>
          <w:bCs/>
          <w:color w:val="000000"/>
          <w:lang w:val="en-US"/>
        </w:rPr>
        <w:t>IX</w:t>
      </w:r>
      <w:r>
        <w:rPr>
          <w:b/>
          <w:bCs/>
          <w:color w:val="000000"/>
          <w:lang w:val="uk-UA"/>
        </w:rPr>
        <w:t>. ВІДПОВІДАЛЬНІСТЬ СТОРІН</w:t>
      </w:r>
    </w:p>
    <w:p>
      <w:pPr>
        <w:pStyle w:val="4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pPr>
        <w:pStyle w:val="42"/>
        <w:jc w:val="center"/>
        <w:rPr>
          <w:b/>
          <w:bCs/>
          <w:color w:val="000000"/>
          <w:lang w:val="uk-UA"/>
        </w:rPr>
      </w:pPr>
    </w:p>
    <w:p>
      <w:pPr>
        <w:pStyle w:val="42"/>
        <w:jc w:val="center"/>
      </w:pPr>
      <w:r>
        <w:rPr>
          <w:b/>
          <w:bCs/>
          <w:color w:val="000000"/>
          <w:lang w:val="en-US"/>
        </w:rPr>
        <w:t>X</w:t>
      </w:r>
      <w:r>
        <w:rPr>
          <w:b/>
          <w:bCs/>
          <w:color w:val="000000"/>
          <w:lang w:val="uk-UA"/>
        </w:rPr>
        <w:t>. ОБСТАВИНИ НЕПЕРЕБОРНОЇ СИЛИ</w:t>
      </w:r>
    </w:p>
    <w:p>
      <w:pPr>
        <w:pStyle w:val="4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42"/>
        <w:jc w:val="both"/>
        <w:rPr>
          <w:lang w:val="uk-UA"/>
        </w:rPr>
      </w:pPr>
      <w:r>
        <w:rPr>
          <w:bCs/>
          <w:color w:val="000000"/>
          <w:lang w:val="uk-UA"/>
        </w:rPr>
        <w:tab/>
      </w:r>
      <w:r>
        <w:rPr>
          <w:bCs/>
          <w:color w:val="000000"/>
          <w:lang w:val="uk-UA"/>
        </w:rPr>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pStyle w:val="42"/>
        <w:jc w:val="both"/>
        <w:rPr>
          <w:lang w:val="uk-UA"/>
        </w:rPr>
      </w:pPr>
      <w:r>
        <w:rPr>
          <w:bCs/>
          <w:color w:val="000000"/>
          <w:lang w:val="uk-UA"/>
        </w:rPr>
        <w:tab/>
      </w:r>
    </w:p>
    <w:p>
      <w:pPr>
        <w:pStyle w:val="42"/>
        <w:jc w:val="center"/>
        <w:rPr>
          <w:lang w:val="uk-UA"/>
        </w:rPr>
      </w:pPr>
      <w:r>
        <w:rPr>
          <w:b/>
          <w:bCs/>
          <w:color w:val="000000"/>
          <w:lang w:val="uk-UA"/>
        </w:rPr>
        <w:t>ХІ. ВИРІШЕННЯ СПОРІВ</w:t>
      </w:r>
    </w:p>
    <w:p>
      <w:pPr>
        <w:pStyle w:val="4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42"/>
        <w:jc w:val="both"/>
      </w:pPr>
      <w:r>
        <w:rPr>
          <w:color w:val="000000"/>
          <w:lang w:val="uk-UA"/>
        </w:rPr>
        <w:tab/>
      </w:r>
      <w:r>
        <w:rPr>
          <w:color w:val="000000"/>
          <w:lang w:val="uk-UA"/>
        </w:rPr>
        <w:t>11.2. У разі недосягнення Сторонами згоди спори (розбіжності) вирішуються у судовому порядку.</w:t>
      </w:r>
    </w:p>
    <w:p>
      <w:pPr>
        <w:pStyle w:val="42"/>
        <w:jc w:val="center"/>
      </w:pPr>
      <w:r>
        <w:rPr>
          <w:b/>
          <w:bCs/>
          <w:color w:val="000000"/>
          <w:lang w:val="uk-UA"/>
        </w:rPr>
        <w:t>ХІІ. СТРОК ДІЇ ДОГОВОРУ</w:t>
      </w:r>
    </w:p>
    <w:p>
      <w:pPr>
        <w:pStyle w:val="4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31.12.2022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pPr>
        <w:pStyle w:val="42"/>
        <w:ind w:firstLine="720"/>
        <w:jc w:val="both"/>
      </w:pPr>
      <w:r>
        <w:rPr>
          <w:color w:val="000000"/>
          <w:lang w:val="uk-UA"/>
        </w:rPr>
        <w:t>12.2. Цей Договір укладається і підписується у 2-х примiрниках (по одному примiрнику для кожної Сторони Договору), що мають однакову юридичну силу.</w:t>
      </w:r>
    </w:p>
    <w:p>
      <w:pPr>
        <w:pStyle w:val="4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pPr>
        <w:pStyle w:val="8"/>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pPr>
        <w:pStyle w:val="8"/>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pPr>
        <w:pStyle w:val="8"/>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pPr>
        <w:pStyle w:val="43"/>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pPr>
        <w:ind w:firstLine="709"/>
        <w:jc w:val="both"/>
        <w:rPr>
          <w:bCs/>
          <w:lang w:val="uk-UA"/>
        </w:rPr>
      </w:pPr>
    </w:p>
    <w:p>
      <w:pPr>
        <w:pStyle w:val="42"/>
        <w:jc w:val="center"/>
        <w:rPr>
          <w:lang w:val="uk-UA"/>
        </w:rPr>
      </w:pPr>
      <w:r>
        <w:rPr>
          <w:b/>
          <w:bCs/>
          <w:color w:val="000000"/>
          <w:lang w:val="uk-UA"/>
        </w:rPr>
        <w:t>ХІІІ. ІНШІ УМОВИ</w:t>
      </w:r>
    </w:p>
    <w:p>
      <w:pPr>
        <w:pStyle w:val="42"/>
        <w:jc w:val="both"/>
      </w:pPr>
      <w:r>
        <w:rPr>
          <w:color w:val="000000"/>
          <w:lang w:val="uk-UA"/>
        </w:rPr>
        <w:tab/>
      </w:r>
      <w:r>
        <w:rPr>
          <w:color w:val="000000"/>
          <w:lang w:val="uk-UA"/>
        </w:rPr>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pPr>
        <w:pStyle w:val="42"/>
        <w:jc w:val="both"/>
        <w:rPr>
          <w:rFonts w:hint="default" w:ascii="Times New Roman" w:hAnsi="Times New Roman" w:cs="Times New Roman"/>
          <w:b w:val="0"/>
          <w:bCs w:val="0"/>
        </w:rPr>
      </w:pPr>
      <w:r>
        <w:rPr>
          <w:lang w:val="uk-UA"/>
        </w:rPr>
        <w:tab/>
      </w:r>
      <w:r>
        <w:rPr>
          <w:rStyle w:val="39"/>
          <w:rFonts w:ascii="Times New Roman" w:hAnsi="Times New Roman" w:cs="Times New Roman"/>
          <w:bCs/>
          <w:color w:val="000000"/>
          <w:lang w:val="uk-UA"/>
        </w:rPr>
        <w:t>13.2. Договір про закупівлю укладається відповідно до вимог п</w:t>
      </w:r>
      <w:r>
        <w:rPr>
          <w:rStyle w:val="39"/>
          <w:rFonts w:hint="default" w:ascii="Times New Roman" w:hAnsi="Times New Roman" w:cs="Times New Roman"/>
          <w:bCs/>
          <w:color w:val="000000"/>
          <w:lang w:val="uk-UA"/>
        </w:rPr>
        <w:t xml:space="preserve">. 19 </w:t>
      </w:r>
      <w:r>
        <w:rPr>
          <w:rFonts w:hint="default" w:ascii="Times New Roman" w:hAnsi="Times New Roman" w:cs="Times New Roman"/>
          <w:b w:val="0"/>
          <w:bCs w:val="0"/>
          <w:color w:val="auto"/>
          <w:sz w:val="24"/>
          <w:szCs w:val="24"/>
        </w:rPr>
        <w:t xml:space="preserve">постанови Кабінету Міністрів України від 12 </w:t>
      </w:r>
      <w:r>
        <w:rPr>
          <w:rFonts w:hint="default" w:ascii="Times New Roman" w:hAnsi="Times New Roman" w:cs="Times New Roman"/>
          <w:b w:val="0"/>
          <w:bCs w:val="0"/>
          <w:color w:val="auto"/>
          <w:spacing w:val="10"/>
          <w:sz w:val="24"/>
          <w:szCs w:val="24"/>
        </w:rPr>
        <w:t>жо</w:t>
      </w:r>
      <w:r>
        <w:rPr>
          <w:rFonts w:hint="default" w:ascii="Times New Roman" w:hAnsi="Times New Roman" w:cs="Times New Roman"/>
          <w:b w:val="0"/>
          <w:bCs w:val="0"/>
          <w:color w:val="auto"/>
          <w:sz w:val="24"/>
          <w:szCs w:val="24"/>
        </w:rPr>
        <w:t xml:space="preserve">втня 2022р. </w:t>
      </w:r>
      <w:r>
        <w:rPr>
          <w:rFonts w:hint="default" w:ascii="Times New Roman" w:hAnsi="Times New Roman" w:cs="Times New Roman"/>
          <w:b w:val="0"/>
          <w:bCs w:val="0"/>
          <w:color w:val="auto"/>
          <w:w w:val="95"/>
          <w:sz w:val="24"/>
          <w:szCs w:val="24"/>
        </w:rPr>
        <w:t xml:space="preserve">№1178 «Про затвердження особливостей здійснення публічних закупівель товарів, робіт і послуг для замовників, передбачених </w:t>
      </w:r>
      <w:r>
        <w:rPr>
          <w:rFonts w:hint="default" w:ascii="Times New Roman" w:hAnsi="Times New Roman" w:cs="Times New Roman"/>
          <w:b w:val="0"/>
          <w:bCs w:val="0"/>
          <w:color w:val="auto"/>
          <w:sz w:val="24"/>
          <w:szCs w:val="24"/>
        </w:rPr>
        <w:t xml:space="preserve">Законом України “Про публічні закупівлі”, на період дії </w:t>
      </w:r>
      <w:r>
        <w:rPr>
          <w:rFonts w:hint="default" w:ascii="Times New Roman" w:hAnsi="Times New Roman" w:cs="Times New Roman"/>
          <w:b w:val="0"/>
          <w:bCs w:val="0"/>
          <w:color w:val="auto"/>
          <w:w w:val="95"/>
          <w:sz w:val="24"/>
          <w:szCs w:val="24"/>
        </w:rPr>
        <w:t>правового режиму воєнного стану в Україні та протягом 90 днів з дня його припинення або скасування»</w:t>
      </w:r>
      <w:r>
        <w:rPr>
          <w:rStyle w:val="39"/>
          <w:rFonts w:hint="default" w:ascii="Times New Roman" w:hAnsi="Times New Roman" w:cs="Times New Roman"/>
          <w:b w:val="0"/>
          <w:bCs w:val="0"/>
          <w:color w:val="000000"/>
          <w:lang w:val="uk-UA"/>
        </w:rPr>
        <w:t>, а саме:</w:t>
      </w:r>
      <w:bookmarkStart w:id="8" w:name="n577"/>
      <w:bookmarkEnd w:id="8"/>
      <w:bookmarkStart w:id="9" w:name="n578"/>
      <w:bookmarkEnd w:id="9"/>
      <w:bookmarkStart w:id="10" w:name="n576"/>
      <w:bookmarkEnd w:id="10"/>
    </w:p>
    <w:p>
      <w:pPr>
        <w:spacing w:before="120"/>
        <w:ind w:firstLine="567"/>
        <w:jc w:val="both"/>
        <w:rPr>
          <w:rFonts w:ascii="Times New Roman" w:hAnsi="Times New Roman"/>
          <w:color w:val="000000"/>
          <w:sz w:val="24"/>
          <w:szCs w:val="24"/>
        </w:rPr>
      </w:pPr>
      <w:bookmarkStart w:id="11" w:name="n579"/>
      <w:bookmarkEnd w:id="11"/>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ype="textWrapping"/>
      </w:r>
      <w:r>
        <w:rPr>
          <w:rFonts w:ascii="Times New Roman" w:hAnsi="Times New Roman"/>
          <w:color w:val="000000"/>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120"/>
        <w:ind w:firstLine="567"/>
        <w:jc w:val="both"/>
        <w:rPr>
          <w:rFonts w:ascii="Times New Roman" w:hAnsi="Times New Roman"/>
          <w:color w:val="000000"/>
          <w:sz w:val="24"/>
          <w:szCs w:val="24"/>
        </w:rPr>
      </w:pPr>
      <w:r>
        <w:rPr>
          <w:rFonts w:ascii="Times New Roman" w:hAnsi="Times New Roman"/>
          <w:color w:val="000000"/>
          <w:sz w:val="24"/>
          <w:szCs w:val="24"/>
          <w:lang w:eastAsia="en-US"/>
        </w:rPr>
        <w:t>8) зміни умов у зв’язку із застосуванням положень частини шостої</w:t>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статті 41 Закону.</w:t>
      </w:r>
    </w:p>
    <w:p>
      <w:pPr>
        <w:pStyle w:val="42"/>
        <w:jc w:val="both"/>
      </w:pPr>
      <w:r>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42"/>
        <w:ind w:firstLine="720"/>
        <w:jc w:val="both"/>
        <w:rPr>
          <w:kern w:val="2"/>
          <w:lang w:val="uk-UA"/>
        </w:rPr>
      </w:pPr>
    </w:p>
    <w:p>
      <w:pPr>
        <w:pStyle w:val="42"/>
        <w:jc w:val="center"/>
      </w:pPr>
      <w:r>
        <w:rPr>
          <w:b/>
          <w:lang w:val="uk-UA"/>
        </w:rPr>
        <w:t>ХІ</w:t>
      </w:r>
      <w:r>
        <w:rPr>
          <w:b/>
          <w:lang w:val="en-US"/>
        </w:rPr>
        <w:t>V</w:t>
      </w:r>
      <w:r>
        <w:rPr>
          <w:b/>
          <w:lang w:val="uk-UA"/>
        </w:rPr>
        <w:t>. ДОДАТКИ ДО ДОГОВОРУ</w:t>
      </w:r>
    </w:p>
    <w:p>
      <w:pPr>
        <w:pStyle w:val="42"/>
        <w:ind w:firstLine="720"/>
        <w:jc w:val="both"/>
      </w:pPr>
      <w:r>
        <w:rPr>
          <w:lang w:val="uk-UA"/>
        </w:rPr>
        <w:t>Невід'ємною частиною цього Договору є:</w:t>
      </w:r>
    </w:p>
    <w:p>
      <w:pPr>
        <w:pStyle w:val="42"/>
        <w:numPr>
          <w:ilvl w:val="0"/>
          <w:numId w:val="1"/>
        </w:numPr>
        <w:jc w:val="both"/>
      </w:pPr>
      <w:r>
        <w:rPr>
          <w:lang w:val="uk-UA"/>
        </w:rPr>
        <w:t>Додаток 1 «Договірна ціна».</w:t>
      </w:r>
    </w:p>
    <w:p>
      <w:pPr>
        <w:pStyle w:val="42"/>
        <w:numPr>
          <w:ilvl w:val="0"/>
          <w:numId w:val="1"/>
        </w:numPr>
        <w:jc w:val="both"/>
      </w:pPr>
      <w:r>
        <w:rPr>
          <w:lang w:val="uk-UA"/>
        </w:rPr>
        <w:t>Додаток 2 «Графік надання послуг».</w:t>
      </w:r>
    </w:p>
    <w:p>
      <w:pPr>
        <w:pStyle w:val="42"/>
        <w:jc w:val="center"/>
        <w:rPr>
          <w:b/>
          <w:bCs/>
          <w:lang w:val="uk-UA"/>
        </w:rPr>
      </w:pPr>
    </w:p>
    <w:p>
      <w:pPr>
        <w:pStyle w:val="42"/>
        <w:jc w:val="center"/>
      </w:pPr>
      <w:r>
        <w:rPr>
          <w:b/>
          <w:bCs/>
          <w:lang w:val="en-US"/>
        </w:rPr>
        <w:t>XV</w:t>
      </w:r>
      <w:r>
        <w:rPr>
          <w:b/>
          <w:bCs/>
          <w:lang w:val="uk-UA"/>
        </w:rPr>
        <w:t>. МІСЦЕЗНАХОДЖЕННЯ ТА БАНКІВСЬКІ РЕКВІЗИТИ СТОРІН</w:t>
      </w:r>
    </w:p>
    <w:p>
      <w:pPr>
        <w:pStyle w:val="42"/>
        <w:jc w:val="both"/>
        <w:rPr>
          <w:b/>
          <w:i/>
          <w:lang w:val="uk-UA"/>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
                <w:bCs/>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pStyle w:val="42"/>
        <w:pageBreakBefore/>
        <w:jc w:val="center"/>
      </w:pPr>
      <w:r>
        <w:rPr>
          <w:rFonts w:ascii="Times New Roman" w:hAnsi="Times New Roman" w:cs="Times New Roman"/>
          <w:lang w:val="uk-UA"/>
        </w:rPr>
        <w:t xml:space="preserve">                                                                                               Додаток №2</w:t>
      </w:r>
    </w:p>
    <w:p>
      <w:pPr>
        <w:pStyle w:val="42"/>
        <w:jc w:val="right"/>
      </w:pPr>
      <w:r>
        <w:rPr>
          <w:rFonts w:ascii="Times New Roman" w:hAnsi="Times New Roman" w:cs="Times New Roman"/>
          <w:lang w:val="uk-UA"/>
        </w:rPr>
        <w:t xml:space="preserve">                                                                                                 до Договору № _______</w:t>
      </w:r>
    </w:p>
    <w:p>
      <w:pPr>
        <w:pStyle w:val="42"/>
        <w:jc w:val="right"/>
      </w:pPr>
      <w:r>
        <w:rPr>
          <w:rFonts w:ascii="Times New Roman" w:hAnsi="Times New Roman" w:cs="Times New Roman"/>
          <w:lang w:val="uk-UA"/>
        </w:rPr>
        <w:t>від __________________</w:t>
      </w:r>
    </w:p>
    <w:p>
      <w:pPr>
        <w:pStyle w:val="42"/>
        <w:jc w:val="right"/>
        <w:rPr>
          <w:rFonts w:ascii="Times New Roman" w:hAnsi="Times New Roman" w:cs="Times New Roman"/>
          <w:lang w:val="uk-UA"/>
        </w:rPr>
      </w:pPr>
    </w:p>
    <w:p>
      <w:pPr>
        <w:pStyle w:val="42"/>
        <w:jc w:val="right"/>
      </w:pPr>
    </w:p>
    <w:p>
      <w:pPr>
        <w:pStyle w:val="12"/>
        <w:jc w:val="center"/>
        <w:rPr>
          <w:rFonts w:ascii="Times New Roman" w:hAnsi="Times New Roman" w:cs="Times New Roman"/>
          <w:b/>
          <w:sz w:val="24"/>
          <w:szCs w:val="24"/>
        </w:rPr>
      </w:pPr>
    </w:p>
    <w:p>
      <w:pPr>
        <w:pStyle w:val="12"/>
        <w:jc w:val="center"/>
      </w:pPr>
      <w:r>
        <w:rPr>
          <w:rFonts w:ascii="Times New Roman" w:hAnsi="Times New Roman" w:cs="Times New Roman"/>
          <w:sz w:val="24"/>
          <w:szCs w:val="24"/>
        </w:rPr>
        <w:t xml:space="preserve">Графік надання послуг </w:t>
      </w:r>
    </w:p>
    <w:p>
      <w:pPr>
        <w:jc w:val="center"/>
        <w:rPr>
          <w:b/>
          <w:lang w:val="uk-UA"/>
        </w:rPr>
      </w:pPr>
      <w:r>
        <w:rPr>
          <w:lang w:val="uk-UA"/>
        </w:rPr>
        <w:t xml:space="preserve">на </w:t>
      </w:r>
      <w:r>
        <w:rPr>
          <w:b/>
          <w:lang w:val="uk-UA"/>
        </w:rPr>
        <w:t xml:space="preserve">Послуги з аварійних, відновних робіт та експлуатаційного утримання </w:t>
      </w:r>
    </w:p>
    <w:p>
      <w:pPr>
        <w:jc w:val="center"/>
        <w:rPr>
          <w:b/>
          <w:lang w:val="uk-UA"/>
        </w:rPr>
      </w:pPr>
      <w:r>
        <w:rPr>
          <w:b/>
          <w:lang w:val="uk-UA"/>
        </w:rPr>
        <w:t xml:space="preserve">вулиць і доріг комунальної власності (відновні роботи по вул.Танасчишина </w:t>
      </w:r>
    </w:p>
    <w:p>
      <w:pPr>
        <w:jc w:val="center"/>
        <w:rPr>
          <w:lang w:val="uk-UA"/>
        </w:rPr>
      </w:pPr>
      <w:r>
        <w:rPr>
          <w:b/>
          <w:lang w:val="uk-UA"/>
        </w:rPr>
        <w:t>в м.Вознесенськ Миколаївської області)</w:t>
      </w:r>
    </w:p>
    <w:p>
      <w:pPr>
        <w:jc w:val="center"/>
        <w:rPr>
          <w:b/>
          <w:bCs/>
          <w:lang w:val="uk-UA"/>
        </w:rPr>
      </w:pPr>
      <w:r>
        <w:rPr>
          <w:lang w:val="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tbl>
      <w:tblPr>
        <w:tblStyle w:val="3"/>
        <w:tblW w:w="0" w:type="auto"/>
        <w:tblInd w:w="55" w:type="dxa"/>
        <w:tblLayout w:type="fixed"/>
        <w:tblCellMar>
          <w:top w:w="55" w:type="dxa"/>
          <w:left w:w="55" w:type="dxa"/>
          <w:bottom w:w="55" w:type="dxa"/>
          <w:right w:w="55" w:type="dxa"/>
        </w:tblCellMar>
      </w:tblPr>
      <w:tblGrid>
        <w:gridCol w:w="855"/>
        <w:gridCol w:w="3510"/>
        <w:gridCol w:w="2640"/>
        <w:gridCol w:w="2209"/>
      </w:tblGrid>
      <w:tr>
        <w:tblPrEx>
          <w:tblCellMar>
            <w:top w:w="55" w:type="dxa"/>
            <w:left w:w="55" w:type="dxa"/>
            <w:bottom w:w="55" w:type="dxa"/>
            <w:right w:w="55" w:type="dxa"/>
          </w:tblCellMar>
        </w:tblPrEx>
        <w:tc>
          <w:tcPr>
            <w:tcW w:w="855"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 з/п</w:t>
            </w:r>
          </w:p>
        </w:tc>
        <w:tc>
          <w:tcPr>
            <w:tcW w:w="3510"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Найменування послуг</w:t>
            </w:r>
          </w:p>
        </w:tc>
        <w:tc>
          <w:tcPr>
            <w:tcW w:w="2640"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lang w:val="uk-UA"/>
              </w:rPr>
              <w:t>Термін</w:t>
            </w:r>
            <w:r>
              <w:rPr>
                <w:rFonts w:hint="default" w:ascii="Times New Roman" w:hAnsi="Times New Roman" w:cs="Times New Roman"/>
                <w:b/>
                <w:sz w:val="24"/>
                <w:szCs w:val="24"/>
                <w:lang w:val="uk-UA"/>
              </w:rPr>
              <w:t xml:space="preserve"> </w:t>
            </w:r>
            <w:r>
              <w:rPr>
                <w:rFonts w:ascii="Times New Roman" w:hAnsi="Times New Roman" w:cs="Times New Roman"/>
                <w:b/>
                <w:sz w:val="24"/>
                <w:szCs w:val="24"/>
              </w:rPr>
              <w:t>виконання послуг</w:t>
            </w:r>
          </w:p>
          <w:p>
            <w:pPr>
              <w:pStyle w:val="12"/>
              <w:spacing w:line="276" w:lineRule="auto"/>
              <w:jc w:val="both"/>
            </w:pPr>
          </w:p>
        </w:tc>
        <w:tc>
          <w:tcPr>
            <w:tcW w:w="2209" w:type="dxa"/>
            <w:tcBorders>
              <w:top w:val="single" w:color="000000" w:sz="4" w:space="0"/>
              <w:left w:val="single" w:color="000000" w:sz="4" w:space="0"/>
              <w:bottom w:val="single" w:color="000000" w:sz="4" w:space="0"/>
              <w:right w:val="single" w:color="auto" w:sz="4" w:space="0"/>
            </w:tcBorders>
            <w:shd w:val="clear" w:color="auto" w:fill="auto"/>
          </w:tcPr>
          <w:p>
            <w:pPr>
              <w:pStyle w:val="12"/>
              <w:spacing w:line="276" w:lineRule="auto"/>
              <w:jc w:val="center"/>
            </w:pPr>
            <w:r>
              <w:rPr>
                <w:rFonts w:ascii="Times New Roman" w:hAnsi="Times New Roman" w:cs="Times New Roman"/>
                <w:b/>
                <w:sz w:val="24"/>
                <w:szCs w:val="24"/>
              </w:rPr>
              <w:t>Вартість грн.</w:t>
            </w:r>
          </w:p>
        </w:tc>
      </w:tr>
      <w:tr>
        <w:tblPrEx>
          <w:tblCellMar>
            <w:top w:w="55" w:type="dxa"/>
            <w:left w:w="55" w:type="dxa"/>
            <w:bottom w:w="55" w:type="dxa"/>
            <w:right w:w="55" w:type="dxa"/>
          </w:tblCellMar>
        </w:tblPrEx>
        <w:trPr>
          <w:trHeight w:val="2109" w:hRule="atLeast"/>
        </w:trPr>
        <w:tc>
          <w:tcPr>
            <w:tcW w:w="855"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sz w:val="24"/>
                <w:szCs w:val="24"/>
              </w:rPr>
              <w:t>1</w:t>
            </w:r>
          </w:p>
        </w:tc>
        <w:tc>
          <w:tcPr>
            <w:tcW w:w="3510" w:type="dxa"/>
            <w:tcBorders>
              <w:left w:val="single" w:color="000000" w:sz="4" w:space="0"/>
              <w:bottom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rPr>
                <w:lang w:val="uk-UA"/>
              </w:rPr>
            </w:pPr>
            <w:r>
              <w:rPr>
                <w:b/>
                <w:lang w:val="uk-UA"/>
              </w:rPr>
              <w:t>Послуги з аварійних, відновних робіт та експлуатаційного утримання вулиць і доріг комунальної власності (відновні роботи по вул.Танасчишина в м.Вознесенськ Миколаївської області)</w:t>
            </w:r>
            <w:r>
              <w:rPr>
                <w:lang w:val="uk-UA"/>
              </w:rPr>
              <w:t xml:space="preserve"> (ДК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2640" w:type="dxa"/>
            <w:tcBorders>
              <w:left w:val="single" w:color="000000" w:sz="4" w:space="0"/>
              <w:bottom w:val="single" w:color="000000" w:sz="4" w:space="0"/>
            </w:tcBorders>
            <w:shd w:val="clear" w:color="auto" w:fill="auto"/>
          </w:tcPr>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red"/>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red"/>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red"/>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red"/>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red"/>
                <w:lang w:val="uk-UA"/>
              </w:rPr>
            </w:pPr>
            <w:r>
              <w:rPr>
                <w:highlight w:val="none"/>
                <w:lang w:val="uk-UA"/>
              </w:rPr>
              <w:t>Грудень 2022р.</w:t>
            </w:r>
            <w:bookmarkStart w:id="12" w:name="_GoBack"/>
            <w:bookmarkEnd w:id="12"/>
          </w:p>
        </w:tc>
        <w:tc>
          <w:tcPr>
            <w:tcW w:w="2209" w:type="dxa"/>
            <w:tcBorders>
              <w:left w:val="single" w:color="000000" w:sz="4" w:space="0"/>
              <w:bottom w:val="single" w:color="000000" w:sz="4" w:space="0"/>
              <w:right w:val="single" w:color="auto" w:sz="4" w:space="0"/>
            </w:tcBorders>
            <w:shd w:val="clear" w:color="auto" w:fill="auto"/>
          </w:tcPr>
          <w:p>
            <w:pPr>
              <w:pStyle w:val="12"/>
              <w:spacing w:line="276" w:lineRule="auto"/>
              <w:jc w:val="center"/>
            </w:pPr>
          </w:p>
          <w:p>
            <w:pPr>
              <w:pStyle w:val="12"/>
              <w:spacing w:line="276" w:lineRule="auto"/>
              <w:jc w:val="center"/>
              <w:rPr>
                <w:rFonts w:ascii="Times New Roman" w:hAnsi="Times New Roman" w:cs="Times New Roman"/>
                <w:bCs/>
                <w:sz w:val="24"/>
                <w:szCs w:val="24"/>
              </w:rPr>
            </w:pPr>
          </w:p>
        </w:tc>
      </w:tr>
      <w:tr>
        <w:tblPrEx>
          <w:tblCellMar>
            <w:top w:w="55" w:type="dxa"/>
            <w:left w:w="55" w:type="dxa"/>
            <w:bottom w:w="55" w:type="dxa"/>
            <w:right w:w="55" w:type="dxa"/>
          </w:tblCellMar>
        </w:tblPrEx>
        <w:tc>
          <w:tcPr>
            <w:tcW w:w="855" w:type="dxa"/>
            <w:tcBorders>
              <w:left w:val="single" w:color="000000" w:sz="4" w:space="0"/>
              <w:bottom w:val="single" w:color="000000" w:sz="4" w:space="0"/>
            </w:tcBorders>
            <w:shd w:val="clear" w:color="auto" w:fill="auto"/>
          </w:tcPr>
          <w:p>
            <w:pPr>
              <w:pStyle w:val="44"/>
              <w:snapToGrid w:val="0"/>
            </w:pPr>
          </w:p>
        </w:tc>
        <w:tc>
          <w:tcPr>
            <w:tcW w:w="3510"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i/>
                <w:sz w:val="24"/>
                <w:szCs w:val="24"/>
              </w:rPr>
              <w:t>Разом</w:t>
            </w:r>
          </w:p>
        </w:tc>
        <w:tc>
          <w:tcPr>
            <w:tcW w:w="2640" w:type="dxa"/>
            <w:tcBorders>
              <w:left w:val="single" w:color="000000" w:sz="4" w:space="0"/>
              <w:bottom w:val="single" w:color="000000" w:sz="4" w:space="0"/>
            </w:tcBorders>
            <w:shd w:val="clear" w:color="auto" w:fill="auto"/>
          </w:tcPr>
          <w:p>
            <w:pPr>
              <w:pStyle w:val="44"/>
              <w:snapToGrid w:val="0"/>
            </w:pPr>
          </w:p>
        </w:tc>
        <w:tc>
          <w:tcPr>
            <w:tcW w:w="2209" w:type="dxa"/>
            <w:tcBorders>
              <w:left w:val="single" w:color="000000" w:sz="4" w:space="0"/>
              <w:bottom w:val="single" w:color="000000" w:sz="4" w:space="0"/>
              <w:right w:val="single" w:color="auto" w:sz="4" w:space="0"/>
            </w:tcBorders>
            <w:shd w:val="clear" w:color="auto" w:fill="auto"/>
          </w:tcPr>
          <w:p>
            <w:pPr>
              <w:pStyle w:val="44"/>
              <w:snapToGrid w:val="0"/>
              <w:jc w:val="center"/>
            </w:pPr>
          </w:p>
        </w:tc>
      </w:tr>
    </w:tbl>
    <w:p>
      <w:pPr>
        <w:pStyle w:val="12"/>
        <w:jc w:val="center"/>
        <w:rPr>
          <w:rFonts w:ascii="Times New Roman" w:hAnsi="Times New Roman" w:cs="Times New Roman"/>
          <w:sz w:val="24"/>
          <w:szCs w:val="24"/>
        </w:rPr>
      </w:pPr>
    </w:p>
    <w:p>
      <w:pPr>
        <w:tabs>
          <w:tab w:val="left" w:pos="3570"/>
        </w:tabs>
        <w:rPr>
          <w:lang w:val="uk-UA" w:eastAsia="ru-RU"/>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 xml:space="preserve">56500м.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rPr>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Cs/>
                <w:lang w:val="en-US"/>
              </w:rPr>
            </w:pPr>
          </w:p>
          <w:p>
            <w:pPr>
              <w:pStyle w:val="42"/>
              <w:jc w:val="both"/>
              <w:rPr>
                <w:b/>
                <w:bCs/>
                <w:lang w:val="uk-UA"/>
              </w:rPr>
            </w:pPr>
          </w:p>
          <w:p>
            <w:pPr>
              <w:pStyle w:val="42"/>
              <w:jc w:val="both"/>
            </w:pPr>
            <w:r>
              <w:rPr>
                <w:b/>
                <w:bCs/>
                <w:lang w:val="uk-UA"/>
              </w:rPr>
              <w:t xml:space="preserve">___________________ </w:t>
            </w:r>
          </w:p>
          <w:p>
            <w:pPr>
              <w:pStyle w:val="42"/>
              <w:jc w:val="both"/>
              <w:rPr>
                <w:b/>
                <w:bCs/>
                <w:lang w:val="uk-UA"/>
              </w:rPr>
            </w:pPr>
          </w:p>
          <w:p>
            <w:pPr>
              <w:pStyle w:val="42"/>
              <w:jc w:val="both"/>
            </w:pPr>
            <w:r>
              <w:rPr>
                <w:b/>
                <w:bCs/>
                <w:lang w:val="uk-UA"/>
              </w:rPr>
              <w:t>__________________/ ______________</w:t>
            </w:r>
          </w:p>
        </w:tc>
      </w:tr>
    </w:tbl>
    <w:p>
      <w:pPr>
        <w:rPr>
          <w:lang w:val="uk-UA" w:eastAsia="ru-RU"/>
        </w:rPr>
      </w:pPr>
    </w:p>
    <w:p>
      <w:pPr>
        <w:ind w:left="720"/>
        <w:rPr>
          <w:lang w:val="uk-UA" w:eastAsia="ru-RU"/>
        </w:rPr>
      </w:pPr>
    </w:p>
    <w:p/>
    <w:sectPr>
      <w:footerReference r:id="rId4" w:type="first"/>
      <w:footerReference r:id="rId3" w:type="default"/>
      <w:pgSz w:w="11906" w:h="16838"/>
      <w:pgMar w:top="284" w:right="851" w:bottom="657" w:left="1644"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ohit Devanagari">
    <w:altName w:val="Times New Roman"/>
    <w:panose1 w:val="00000000000000000000"/>
    <w:charset w:val="CC"/>
    <w:family w:val="auto"/>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w:instrText>
    </w:r>
    <w:r>
      <w:fldChar w:fldCharType="separate"/>
    </w:r>
    <w:r>
      <w:t>2</w:t>
    </w:r>
    <w:r>
      <w:fldChar w:fldCharType="end"/>
    </w:r>
  </w:p>
  <w:p>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0"/>
        </w:tabs>
        <w:ind w:left="1080" w:hanging="360"/>
      </w:pPr>
      <w:rPr>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embedSystemFont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0D4A04"/>
    <w:rsid w:val="00007A06"/>
    <w:rsid w:val="000D4A04"/>
    <w:rsid w:val="000F30CB"/>
    <w:rsid w:val="000F3B1C"/>
    <w:rsid w:val="001444AB"/>
    <w:rsid w:val="001A438D"/>
    <w:rsid w:val="001B62B0"/>
    <w:rsid w:val="001C5EB8"/>
    <w:rsid w:val="00254FD9"/>
    <w:rsid w:val="00256A07"/>
    <w:rsid w:val="00275E22"/>
    <w:rsid w:val="0047518B"/>
    <w:rsid w:val="004825F4"/>
    <w:rsid w:val="004854B8"/>
    <w:rsid w:val="005202F6"/>
    <w:rsid w:val="00584775"/>
    <w:rsid w:val="005E0257"/>
    <w:rsid w:val="00665AC9"/>
    <w:rsid w:val="006D548D"/>
    <w:rsid w:val="006E7119"/>
    <w:rsid w:val="006F53D6"/>
    <w:rsid w:val="007110D9"/>
    <w:rsid w:val="00794CFF"/>
    <w:rsid w:val="007B2B34"/>
    <w:rsid w:val="007D75A5"/>
    <w:rsid w:val="00802258"/>
    <w:rsid w:val="00885300"/>
    <w:rsid w:val="008C77EA"/>
    <w:rsid w:val="008D73B7"/>
    <w:rsid w:val="008F67A9"/>
    <w:rsid w:val="00984214"/>
    <w:rsid w:val="009B5688"/>
    <w:rsid w:val="00A324D1"/>
    <w:rsid w:val="00A425EB"/>
    <w:rsid w:val="00AB0711"/>
    <w:rsid w:val="00AD01EE"/>
    <w:rsid w:val="00AF116C"/>
    <w:rsid w:val="00B17724"/>
    <w:rsid w:val="00C61732"/>
    <w:rsid w:val="00C72ECB"/>
    <w:rsid w:val="00CC61DE"/>
    <w:rsid w:val="00D22117"/>
    <w:rsid w:val="00DA22A9"/>
    <w:rsid w:val="00E33C59"/>
    <w:rsid w:val="00EC17C5"/>
    <w:rsid w:val="00EE1D84"/>
    <w:rsid w:val="00EF5C58"/>
    <w:rsid w:val="00F43622"/>
    <w:rsid w:val="00F503B6"/>
    <w:rsid w:val="00F60E46"/>
    <w:rsid w:val="00F8396F"/>
    <w:rsid w:val="00F94758"/>
    <w:rsid w:val="00FA7B17"/>
    <w:rsid w:val="00FC146E"/>
    <w:rsid w:val="00FD1743"/>
    <w:rsid w:val="08471E20"/>
    <w:rsid w:val="08A339CA"/>
    <w:rsid w:val="09D973F0"/>
    <w:rsid w:val="0A462A89"/>
    <w:rsid w:val="0AC84D5C"/>
    <w:rsid w:val="0ADF0A36"/>
    <w:rsid w:val="0B8E2717"/>
    <w:rsid w:val="0C7E7DDA"/>
    <w:rsid w:val="0D59081E"/>
    <w:rsid w:val="0F09527E"/>
    <w:rsid w:val="10A86BA4"/>
    <w:rsid w:val="11CA1981"/>
    <w:rsid w:val="12EC1060"/>
    <w:rsid w:val="13294F44"/>
    <w:rsid w:val="14855854"/>
    <w:rsid w:val="14D30E3D"/>
    <w:rsid w:val="17FA5449"/>
    <w:rsid w:val="18D9342F"/>
    <w:rsid w:val="19B1371A"/>
    <w:rsid w:val="1D1A58FD"/>
    <w:rsid w:val="1DC96B6E"/>
    <w:rsid w:val="1ED523C9"/>
    <w:rsid w:val="2151213B"/>
    <w:rsid w:val="22DD322D"/>
    <w:rsid w:val="22E67C59"/>
    <w:rsid w:val="23C21E1A"/>
    <w:rsid w:val="259602E8"/>
    <w:rsid w:val="25D6438C"/>
    <w:rsid w:val="26047E6A"/>
    <w:rsid w:val="27F42743"/>
    <w:rsid w:val="28060629"/>
    <w:rsid w:val="284452F5"/>
    <w:rsid w:val="29DB01C2"/>
    <w:rsid w:val="29FB2613"/>
    <w:rsid w:val="2A3D12A3"/>
    <w:rsid w:val="2B4268D5"/>
    <w:rsid w:val="2C0B288A"/>
    <w:rsid w:val="2C0B69FB"/>
    <w:rsid w:val="2E191961"/>
    <w:rsid w:val="2F637C6A"/>
    <w:rsid w:val="30C01668"/>
    <w:rsid w:val="31DC0F7C"/>
    <w:rsid w:val="31ED0D11"/>
    <w:rsid w:val="31FA4E12"/>
    <w:rsid w:val="32183918"/>
    <w:rsid w:val="329D695D"/>
    <w:rsid w:val="332B4814"/>
    <w:rsid w:val="3373418D"/>
    <w:rsid w:val="34A31638"/>
    <w:rsid w:val="372E4027"/>
    <w:rsid w:val="399A5F47"/>
    <w:rsid w:val="3A176879"/>
    <w:rsid w:val="3AB34652"/>
    <w:rsid w:val="3ABB02C8"/>
    <w:rsid w:val="3B3268D7"/>
    <w:rsid w:val="3BAE0C3E"/>
    <w:rsid w:val="3DC07758"/>
    <w:rsid w:val="3F871723"/>
    <w:rsid w:val="40396130"/>
    <w:rsid w:val="41140D45"/>
    <w:rsid w:val="41944F2F"/>
    <w:rsid w:val="42251324"/>
    <w:rsid w:val="42F51C73"/>
    <w:rsid w:val="451E56DB"/>
    <w:rsid w:val="48697532"/>
    <w:rsid w:val="4A0E79BB"/>
    <w:rsid w:val="4A864734"/>
    <w:rsid w:val="4C614FDA"/>
    <w:rsid w:val="4CD43436"/>
    <w:rsid w:val="4E55772E"/>
    <w:rsid w:val="54AF522D"/>
    <w:rsid w:val="57724004"/>
    <w:rsid w:val="593C217C"/>
    <w:rsid w:val="59436B07"/>
    <w:rsid w:val="5AF05531"/>
    <w:rsid w:val="5BEF1728"/>
    <w:rsid w:val="5C2410ED"/>
    <w:rsid w:val="5CC45B5D"/>
    <w:rsid w:val="5CCE326C"/>
    <w:rsid w:val="5D032074"/>
    <w:rsid w:val="5D740137"/>
    <w:rsid w:val="5D8C7234"/>
    <w:rsid w:val="5E4E2768"/>
    <w:rsid w:val="5EB67FB4"/>
    <w:rsid w:val="5F1377F3"/>
    <w:rsid w:val="5F65028C"/>
    <w:rsid w:val="601C431F"/>
    <w:rsid w:val="61A77794"/>
    <w:rsid w:val="62306A4A"/>
    <w:rsid w:val="631162D3"/>
    <w:rsid w:val="64CF202A"/>
    <w:rsid w:val="652F50C6"/>
    <w:rsid w:val="6655198B"/>
    <w:rsid w:val="668A7AEB"/>
    <w:rsid w:val="66990C0E"/>
    <w:rsid w:val="68224C33"/>
    <w:rsid w:val="69842C3F"/>
    <w:rsid w:val="6F3C4835"/>
    <w:rsid w:val="74227660"/>
    <w:rsid w:val="763859AC"/>
    <w:rsid w:val="766018CA"/>
    <w:rsid w:val="772C77A2"/>
    <w:rsid w:val="777F05EA"/>
    <w:rsid w:val="7BEE65CE"/>
    <w:rsid w:val="7CE86B63"/>
    <w:rsid w:val="7E6E7BDF"/>
    <w:rsid w:val="7EC108AA"/>
    <w:rsid w:val="7F246B8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pPr>
    <w:rPr>
      <w:rFonts w:ascii="Times New Roman" w:hAnsi="Times New Roman" w:eastAsia="Times New Roman" w:cs="Times New Roman"/>
      <w:color w:val="000000"/>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80"/>
      <w:u w:val="single"/>
    </w:rPr>
  </w:style>
  <w:style w:type="paragraph" w:styleId="5">
    <w:name w:val="Balloon Text"/>
    <w:basedOn w:val="1"/>
    <w:qFormat/>
    <w:uiPriority w:val="0"/>
    <w:rPr>
      <w:rFonts w:ascii="Segoe UI" w:hAnsi="Segoe UI" w:cs="Segoe UI"/>
      <w:sz w:val="18"/>
      <w:szCs w:val="18"/>
    </w:rPr>
  </w:style>
  <w:style w:type="paragraph" w:styleId="6">
    <w:name w:val="caption"/>
    <w:basedOn w:val="1"/>
    <w:next w:val="1"/>
    <w:qFormat/>
    <w:uiPriority w:val="0"/>
    <w:pPr>
      <w:suppressLineNumbers/>
      <w:spacing w:before="120" w:after="120"/>
    </w:pPr>
    <w:rPr>
      <w:rFonts w:cs="Lohit Devanagari"/>
      <w:i/>
      <w:iCs/>
    </w:rPr>
  </w:style>
  <w:style w:type="paragraph" w:styleId="7">
    <w:name w:val="header"/>
    <w:basedOn w:val="1"/>
    <w:qFormat/>
    <w:uiPriority w:val="0"/>
  </w:style>
  <w:style w:type="paragraph" w:styleId="8">
    <w:name w:val="Body Text"/>
    <w:basedOn w:val="1"/>
    <w:qFormat/>
    <w:uiPriority w:val="0"/>
    <w:pPr>
      <w:suppressAutoHyphens w:val="0"/>
      <w:jc w:val="center"/>
    </w:pPr>
    <w:rPr>
      <w:sz w:val="28"/>
      <w:lang w:val="uk-UA"/>
    </w:rPr>
  </w:style>
  <w:style w:type="paragraph" w:styleId="9">
    <w:name w:val="footer"/>
    <w:basedOn w:val="1"/>
    <w:qFormat/>
    <w:uiPriority w:val="0"/>
  </w:style>
  <w:style w:type="paragraph" w:styleId="10">
    <w:name w:val="List"/>
    <w:basedOn w:val="8"/>
    <w:qFormat/>
    <w:uiPriority w:val="0"/>
    <w:rPr>
      <w:rFonts w:cs="Lohit Devanagari"/>
    </w:rPr>
  </w:style>
  <w:style w:type="paragraph" w:styleId="11">
    <w:name w:val="Normal (Web)"/>
    <w:basedOn w:val="1"/>
    <w:link w:val="47"/>
    <w:qFormat/>
    <w:uiPriority w:val="99"/>
    <w:pPr>
      <w:spacing w:before="280" w:after="119" w:line="276"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13">
    <w:name w:val="WW8Num1z0"/>
    <w:qFormat/>
    <w:uiPriority w:val="0"/>
    <w:rPr>
      <w:lang w:val="uk-UA"/>
    </w:rPr>
  </w:style>
  <w:style w:type="character" w:customStyle="1" w:styleId="14">
    <w:name w:val="WW8Num2z0"/>
    <w:qFormat/>
    <w:uiPriority w:val="0"/>
  </w:style>
  <w:style w:type="character" w:customStyle="1" w:styleId="15">
    <w:name w:val="WW8Num2z1"/>
    <w:qFormat/>
    <w:uiPriority w:val="0"/>
  </w:style>
  <w:style w:type="character" w:customStyle="1" w:styleId="16">
    <w:name w:val="WW8Num2z2"/>
    <w:qFormat/>
    <w:uiPriority w:val="0"/>
  </w:style>
  <w:style w:type="character" w:customStyle="1" w:styleId="17">
    <w:name w:val="WW8Num2z3"/>
    <w:qFormat/>
    <w:uiPriority w:val="0"/>
  </w:style>
  <w:style w:type="character" w:customStyle="1" w:styleId="18">
    <w:name w:val="WW8Num2z4"/>
    <w:qFormat/>
    <w:uiPriority w:val="0"/>
  </w:style>
  <w:style w:type="character" w:customStyle="1" w:styleId="19">
    <w:name w:val="WW8Num2z5"/>
    <w:qFormat/>
    <w:uiPriority w:val="0"/>
  </w:style>
  <w:style w:type="character" w:customStyle="1" w:styleId="20">
    <w:name w:val="WW8Num2z6"/>
    <w:qFormat/>
    <w:uiPriority w:val="0"/>
  </w:style>
  <w:style w:type="character" w:customStyle="1" w:styleId="21">
    <w:name w:val="WW8Num2z7"/>
    <w:qFormat/>
    <w:uiPriority w:val="0"/>
  </w:style>
  <w:style w:type="character" w:customStyle="1" w:styleId="22">
    <w:name w:val="WW8Num2z8"/>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Основной шрифт абзаца1"/>
    <w:qFormat/>
    <w:uiPriority w:val="0"/>
  </w:style>
  <w:style w:type="character" w:customStyle="1" w:styleId="32">
    <w:name w:val="Текст выноски Знак"/>
    <w:basedOn w:val="31"/>
    <w:qFormat/>
    <w:uiPriority w:val="0"/>
    <w:rPr>
      <w:rFonts w:ascii="Segoe UI" w:hAnsi="Segoe UI" w:eastAsia="Times New Roman" w:cs="Segoe UI"/>
      <w:color w:val="000000"/>
      <w:sz w:val="18"/>
      <w:szCs w:val="18"/>
      <w:lang w:val="ru-RU"/>
    </w:rPr>
  </w:style>
  <w:style w:type="character" w:customStyle="1" w:styleId="33">
    <w:name w:val="Верх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4">
    <w:name w:val="Ниж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5">
    <w:name w:val="grame"/>
    <w:basedOn w:val="31"/>
    <w:qFormat/>
    <w:uiPriority w:val="0"/>
    <w:rPr>
      <w:rFonts w:cs="Times New Roman"/>
    </w:rPr>
  </w:style>
  <w:style w:type="character" w:customStyle="1" w:styleId="36">
    <w:name w:val="Основной текст Знак"/>
    <w:basedOn w:val="31"/>
    <w:qFormat/>
    <w:uiPriority w:val="0"/>
    <w:rPr>
      <w:rFonts w:ascii="Times New Roman" w:hAnsi="Times New Roman" w:eastAsia="Times New Roman" w:cs="Times New Roman"/>
      <w:sz w:val="28"/>
      <w:szCs w:val="24"/>
      <w:lang w:val="uk-UA"/>
    </w:rPr>
  </w:style>
  <w:style w:type="character" w:customStyle="1" w:styleId="37">
    <w:name w:val="Стандартный HTML Знак"/>
    <w:basedOn w:val="31"/>
    <w:qFormat/>
    <w:uiPriority w:val="0"/>
    <w:rPr>
      <w:rFonts w:ascii="Courier New" w:hAnsi="Courier New" w:eastAsia="Times New Roman" w:cs="Courier New"/>
      <w:lang w:val="uk-UA"/>
    </w:rPr>
  </w:style>
  <w:style w:type="character" w:customStyle="1" w:styleId="38">
    <w:name w:val="Основной шрифт абзаца2"/>
    <w:qFormat/>
    <w:uiPriority w:val="0"/>
  </w:style>
  <w:style w:type="character" w:customStyle="1" w:styleId="39">
    <w:name w:val="rvts9"/>
    <w:basedOn w:val="38"/>
    <w:qFormat/>
    <w:uiPriority w:val="0"/>
  </w:style>
  <w:style w:type="paragraph" w:customStyle="1" w:styleId="40">
    <w:name w:val="Заголовок"/>
    <w:basedOn w:val="1"/>
    <w:next w:val="8"/>
    <w:qFormat/>
    <w:uiPriority w:val="0"/>
    <w:pPr>
      <w:keepNext/>
      <w:spacing w:before="240" w:after="120"/>
    </w:pPr>
    <w:rPr>
      <w:rFonts w:ascii="Liberation Sans" w:hAnsi="Liberation Sans" w:eastAsia="Liberation Sans" w:cs="Lohit Devanagari"/>
      <w:sz w:val="28"/>
      <w:szCs w:val="28"/>
    </w:rPr>
  </w:style>
  <w:style w:type="paragraph" w:customStyle="1" w:styleId="41">
    <w:name w:val="Покажчик"/>
    <w:basedOn w:val="1"/>
    <w:qFormat/>
    <w:uiPriority w:val="0"/>
    <w:pPr>
      <w:suppressLineNumbers/>
    </w:pPr>
    <w:rPr>
      <w:rFonts w:cs="Lohit Devanagari"/>
    </w:rPr>
  </w:style>
  <w:style w:type="paragraph" w:styleId="42">
    <w:name w:val="No Spacing"/>
    <w:qFormat/>
    <w:uiPriority w:val="0"/>
    <w:pPr>
      <w:widowControl w:val="0"/>
      <w:suppressAutoHyphens/>
      <w:autoSpaceDE w:val="0"/>
    </w:pPr>
    <w:rPr>
      <w:rFonts w:ascii="Times New Roman CYR" w:hAnsi="Times New Roman CYR" w:eastAsia="Times New Roman" w:cs="Times New Roman CYR"/>
      <w:sz w:val="24"/>
      <w:szCs w:val="24"/>
      <w:lang w:val="ru-RU" w:eastAsia="zh-CN" w:bidi="ar-SA"/>
    </w:rPr>
  </w:style>
  <w:style w:type="paragraph" w:customStyle="1" w:styleId="43">
    <w:name w:val="Standard"/>
    <w:qFormat/>
    <w:uiPriority w:val="0"/>
    <w:pPr>
      <w:widowControl w:val="0"/>
      <w:suppressAutoHyphens/>
      <w:autoSpaceDE w:val="0"/>
    </w:pPr>
    <w:rPr>
      <w:rFonts w:ascii="Times New Roman" w:hAnsi="Times New Roman" w:eastAsia="Times New Roman" w:cs="Times New Roman"/>
      <w:kern w:val="2"/>
      <w:lang w:val="ru-RU" w:eastAsia="zh-CN" w:bidi="ar-SA"/>
    </w:rPr>
  </w:style>
  <w:style w:type="paragraph" w:customStyle="1" w:styleId="44">
    <w:name w:val="Вміст таблиці"/>
    <w:basedOn w:val="1"/>
    <w:qFormat/>
    <w:uiPriority w:val="0"/>
    <w:pPr>
      <w:suppressLineNumbers/>
    </w:pPr>
  </w:style>
  <w:style w:type="paragraph" w:customStyle="1" w:styleId="45">
    <w:name w:val="Заголовок таблиці"/>
    <w:basedOn w:val="44"/>
    <w:qFormat/>
    <w:uiPriority w:val="0"/>
    <w:pPr>
      <w:jc w:val="center"/>
    </w:pPr>
    <w:rPr>
      <w:b/>
      <w:bCs/>
    </w:rPr>
  </w:style>
  <w:style w:type="paragraph" w:customStyle="1" w:styleId="46">
    <w:name w:val="rvps2"/>
    <w:basedOn w:val="1"/>
    <w:qFormat/>
    <w:uiPriority w:val="0"/>
    <w:pPr>
      <w:spacing w:before="280" w:after="280"/>
    </w:pPr>
    <w:rPr>
      <w:lang w:val="uk-UA" w:eastAsia="uk-UA"/>
    </w:rPr>
  </w:style>
  <w:style w:type="character" w:customStyle="1" w:styleId="47">
    <w:name w:val="Обычный (веб) Знак"/>
    <w:link w:val="11"/>
    <w:qFormat/>
    <w:locked/>
    <w:uiPriority w:val="99"/>
    <w:rPr>
      <w:color w:val="000000"/>
      <w:sz w:val="24"/>
      <w:szCs w:val="24"/>
      <w:lang w:eastAsia="zh-CN"/>
    </w:rPr>
  </w:style>
  <w:style w:type="character" w:customStyle="1" w:styleId="48">
    <w:name w:val="Основной текст (2)_"/>
    <w:qFormat/>
    <w:uiPriority w:val="0"/>
    <w:rPr>
      <w:rFonts w:ascii="Times New Roman" w:hAnsi="Times New Roman" w:eastAsia="Times New Roman"/>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E52F-2249-4092-9A57-14F083E235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7</Pages>
  <Words>3298</Words>
  <Characters>18804</Characters>
  <Lines>156</Lines>
  <Paragraphs>44</Paragraphs>
  <TotalTime>1</TotalTime>
  <ScaleCrop>false</ScaleCrop>
  <LinksUpToDate>false</LinksUpToDate>
  <CharactersWithSpaces>22058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2021-01-14T14:03:00Z</dcterms:created>
  <dc:creator>User</dc:creator>
  <cp:lastModifiedBy>Gamemax</cp:lastModifiedBy>
  <cp:lastPrinted>2018-09-18T15:04:00Z</cp:lastPrinted>
  <dcterms:modified xsi:type="dcterms:W3CDTF">2022-11-14T11:49:29Z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0742CAE11A4440FBAC11138A16F5E144</vt:lpwstr>
  </property>
</Properties>
</file>