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7D" w:rsidRPr="00A056AA" w:rsidRDefault="00B47B7D" w:rsidP="00B47B7D">
      <w:pPr>
        <w:ind w:left="2880"/>
        <w:jc w:val="right"/>
        <w:rPr>
          <w:i/>
        </w:rPr>
      </w:pPr>
      <w:r w:rsidRPr="00A056AA">
        <w:rPr>
          <w:b/>
          <w:bCs/>
          <w:lang w:eastAsia="uk-UA"/>
        </w:rPr>
        <w:t>ДОДАТОК № 5</w:t>
      </w:r>
    </w:p>
    <w:p w:rsidR="009952D8" w:rsidRPr="00C1791C" w:rsidRDefault="009952D8" w:rsidP="009952D8">
      <w:pPr>
        <w:jc w:val="right"/>
        <w:textAlignment w:val="baseline"/>
        <w:rPr>
          <w:sz w:val="28"/>
          <w:szCs w:val="28"/>
        </w:rPr>
      </w:pPr>
    </w:p>
    <w:p w:rsidR="009952D8" w:rsidRDefault="009952D8" w:rsidP="009952D8">
      <w:pPr>
        <w:pStyle w:val="11"/>
        <w:ind w:right="610"/>
        <w:jc w:val="center"/>
      </w:pPr>
      <w:r w:rsidRPr="00C1791C">
        <w:t>Перелік документів та інформації для підтвердження</w:t>
      </w:r>
      <w:r>
        <w:t xml:space="preserve"> відповідності УЧАСНИКА вимогам</w:t>
      </w:r>
      <w:r w:rsidRPr="00C1791C">
        <w:t xml:space="preserve"> Замовника</w:t>
      </w:r>
    </w:p>
    <w:p w:rsidR="00616427" w:rsidRDefault="00616427" w:rsidP="00F03A60">
      <w:pPr>
        <w:pStyle w:val="11"/>
        <w:ind w:left="0" w:right="610" w:firstLine="851"/>
        <w:jc w:val="center"/>
      </w:pPr>
    </w:p>
    <w:p w:rsidR="009952D8" w:rsidRPr="001C72AE" w:rsidRDefault="009952D8" w:rsidP="009952D8">
      <w:pPr>
        <w:numPr>
          <w:ilvl w:val="0"/>
          <w:numId w:val="17"/>
        </w:numPr>
        <w:shd w:val="clear" w:color="auto" w:fill="FFFFFF"/>
        <w:suppressAutoHyphens w:val="0"/>
        <w:ind w:left="0" w:firstLine="142"/>
        <w:jc w:val="both"/>
        <w:rPr>
          <w:b/>
          <w:lang w:eastAsia="ru-RU"/>
        </w:rPr>
      </w:pPr>
      <w:r w:rsidRPr="00094D65">
        <w:rPr>
          <w:b/>
          <w:color w:val="000000"/>
          <w:lang w:eastAsia="ru-RU"/>
        </w:rPr>
        <w:t>П</w:t>
      </w:r>
      <w:r>
        <w:rPr>
          <w:b/>
          <w:color w:val="000000"/>
          <w:lang w:eastAsia="ru-RU"/>
        </w:rPr>
        <w:t>ерелік документів та інформації</w:t>
      </w:r>
      <w:r w:rsidRPr="00094D65">
        <w:rPr>
          <w:b/>
          <w:color w:val="000000"/>
          <w:lang w:eastAsia="ru-RU"/>
        </w:rPr>
        <w:t xml:space="preserve">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699"/>
        <w:gridCol w:w="2835"/>
        <w:gridCol w:w="6379"/>
      </w:tblGrid>
      <w:tr w:rsidR="001C72AE" w:rsidRPr="003B7BF3" w:rsidTr="004F3CCC">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72AE" w:rsidRPr="009444A1" w:rsidRDefault="001C72AE" w:rsidP="004F3CCC">
            <w:pPr>
              <w:shd w:val="clear" w:color="auto" w:fill="FFFFFF"/>
              <w:ind w:left="142"/>
              <w:jc w:val="both"/>
              <w:rPr>
                <w:i/>
                <w:lang w:eastAsia="ru-RU"/>
              </w:rPr>
            </w:pPr>
            <w:r w:rsidRPr="009444A1">
              <w:rPr>
                <w:b/>
                <w:i/>
                <w:lang w:eastAsia="ru-RU"/>
              </w:rPr>
              <w:t>№ з/п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72AE" w:rsidRPr="009444A1" w:rsidRDefault="001C72AE" w:rsidP="004F3CCC">
            <w:pPr>
              <w:shd w:val="clear" w:color="auto" w:fill="FFFFFF"/>
              <w:ind w:left="142"/>
              <w:jc w:val="both"/>
              <w:rPr>
                <w:i/>
                <w:lang w:eastAsia="ru-RU"/>
              </w:rPr>
            </w:pPr>
            <w:r w:rsidRPr="009444A1">
              <w:rPr>
                <w:b/>
                <w:i/>
                <w:lang w:eastAsia="ru-RU"/>
              </w:rPr>
              <w:t>Кваліфікаційні критерії</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72AE" w:rsidRPr="009444A1" w:rsidRDefault="001C72AE" w:rsidP="004F3CCC">
            <w:pPr>
              <w:shd w:val="clear" w:color="auto" w:fill="FFFFFF"/>
              <w:ind w:left="142"/>
              <w:jc w:val="both"/>
              <w:rPr>
                <w:i/>
                <w:lang w:eastAsia="ru-RU"/>
              </w:rPr>
            </w:pPr>
            <w:r w:rsidRPr="009444A1">
              <w:rPr>
                <w:b/>
                <w:i/>
                <w:lang w:eastAsia="ru-RU"/>
              </w:rPr>
              <w:t>Документи та інформація, які підтверджують відповідність Учасника кваліфікаційним критеріям</w:t>
            </w:r>
          </w:p>
        </w:tc>
      </w:tr>
      <w:tr w:rsidR="001C72AE" w:rsidRPr="009444A1" w:rsidTr="004F3CCC">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E" w:rsidRPr="009444A1" w:rsidRDefault="001C72AE" w:rsidP="004F3CCC">
            <w:pPr>
              <w:shd w:val="clear" w:color="auto" w:fill="FFFFFF"/>
              <w:ind w:left="142"/>
              <w:jc w:val="both"/>
              <w:rPr>
                <w:i/>
                <w:lang w:eastAsia="ru-RU"/>
              </w:rPr>
            </w:pPr>
            <w:r w:rsidRPr="009444A1">
              <w:rPr>
                <w:b/>
                <w:i/>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E" w:rsidRPr="009444A1" w:rsidRDefault="001C72AE" w:rsidP="004F3CCC">
            <w:pPr>
              <w:shd w:val="clear" w:color="auto" w:fill="FFFFFF"/>
              <w:ind w:left="142"/>
              <w:jc w:val="both"/>
              <w:rPr>
                <w:i/>
                <w:lang w:eastAsia="ru-RU"/>
              </w:rPr>
            </w:pPr>
            <w:r w:rsidRPr="009444A1">
              <w:rPr>
                <w:b/>
                <w:i/>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E" w:rsidRPr="009444A1" w:rsidRDefault="001C72AE" w:rsidP="004F3CCC">
            <w:pPr>
              <w:shd w:val="clear" w:color="auto" w:fill="FFFFFF"/>
              <w:ind w:left="142"/>
              <w:jc w:val="both"/>
              <w:rPr>
                <w:i/>
                <w:lang w:eastAsia="ru-RU"/>
              </w:rPr>
            </w:pPr>
            <w:r w:rsidRPr="009444A1">
              <w:rPr>
                <w:i/>
                <w:lang w:eastAsia="ru-RU"/>
              </w:rPr>
              <w:t>1.1. На підтвердження досвіду виконання аналогічного (аналогічних) за предметом закупівлі договору (договорів) Учасник має надати:</w:t>
            </w:r>
          </w:p>
          <w:p w:rsidR="001C72AE" w:rsidRPr="009444A1" w:rsidRDefault="001C72AE" w:rsidP="004F3CCC">
            <w:pPr>
              <w:shd w:val="clear" w:color="auto" w:fill="FFFFFF"/>
              <w:ind w:left="142"/>
              <w:jc w:val="both"/>
              <w:rPr>
                <w:i/>
                <w:lang w:eastAsia="ru-RU"/>
              </w:rPr>
            </w:pPr>
            <w:r w:rsidRPr="009444A1">
              <w:rPr>
                <w:i/>
                <w:lang w:eastAsia="ru-RU"/>
              </w:rPr>
              <w:t xml:space="preserve">1.1.1. Довідка довільної форми, про наявність в учасника досвіду виконання договору (не менше </w:t>
            </w:r>
            <w:r>
              <w:rPr>
                <w:i/>
                <w:lang w:eastAsia="ru-RU"/>
              </w:rPr>
              <w:t xml:space="preserve">одного </w:t>
            </w:r>
            <w:r w:rsidRPr="009444A1">
              <w:rPr>
                <w:i/>
                <w:lang w:eastAsia="ru-RU"/>
              </w:rPr>
              <w:t xml:space="preserve">договору)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В довідці </w:t>
            </w:r>
            <w:r w:rsidRPr="003B7BF3">
              <w:rPr>
                <w:b/>
                <w:i/>
                <w:lang w:eastAsia="ru-RU"/>
              </w:rPr>
              <w:t>обов’язково</w:t>
            </w:r>
            <w:r w:rsidRPr="009444A1">
              <w:rPr>
                <w:i/>
                <w:lang w:eastAsia="ru-RU"/>
              </w:rPr>
              <w:t xml:space="preserve"> повинно бути зазначено: предмет договору, суму (ціну)  виконаного договору, його № та дату, найменування, адреса та контактні дані </w:t>
            </w:r>
            <w:r>
              <w:rPr>
                <w:i/>
                <w:lang w:eastAsia="ru-RU"/>
              </w:rPr>
              <w:t>споживача (покупця/замовника)</w:t>
            </w:r>
            <w:r w:rsidRPr="009444A1">
              <w:rPr>
                <w:i/>
                <w:lang w:eastAsia="ru-RU"/>
              </w:rPr>
              <w:t>, дати початку та кінця постачання.</w:t>
            </w:r>
          </w:p>
          <w:p w:rsidR="001C72AE" w:rsidRPr="009444A1" w:rsidRDefault="001C72AE" w:rsidP="004F3CCC">
            <w:pPr>
              <w:shd w:val="clear" w:color="auto" w:fill="FFFFFF"/>
              <w:ind w:left="142"/>
              <w:jc w:val="both"/>
              <w:rPr>
                <w:i/>
                <w:lang w:eastAsia="ru-RU"/>
              </w:rPr>
            </w:pPr>
            <w:r w:rsidRPr="009444A1">
              <w:rPr>
                <w:i/>
                <w:lang w:eastAsia="ru-RU"/>
              </w:rPr>
              <w:t>1.1.2.</w:t>
            </w:r>
            <w:r>
              <w:rPr>
                <w:i/>
                <w:lang w:eastAsia="ru-RU"/>
              </w:rPr>
              <w:t>Сканований оригінал або к</w:t>
            </w:r>
            <w:r w:rsidRPr="009444A1">
              <w:rPr>
                <w:i/>
                <w:lang w:eastAsia="ru-RU"/>
              </w:rPr>
              <w:t xml:space="preserve">опію договору (договорів), зазначеного в довідці в повному обсязі з додатками (якщо вони є невід’ємною частиною договорів) </w:t>
            </w:r>
            <w:r>
              <w:rPr>
                <w:i/>
                <w:lang w:eastAsia="ru-RU"/>
              </w:rPr>
              <w:t>(н</w:t>
            </w:r>
            <w:r w:rsidRPr="009444A1">
              <w:rPr>
                <w:i/>
                <w:lang w:eastAsia="ru-RU"/>
              </w:rPr>
              <w:t>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r>
              <w:rPr>
                <w:i/>
                <w:lang w:eastAsia="ru-RU"/>
              </w:rPr>
              <w:t>)</w:t>
            </w:r>
            <w:r w:rsidRPr="009444A1">
              <w:rPr>
                <w:i/>
                <w:lang w:eastAsia="ru-RU"/>
              </w:rPr>
              <w:t>.</w:t>
            </w:r>
          </w:p>
          <w:p w:rsidR="001C72AE" w:rsidRPr="009444A1" w:rsidRDefault="001C72AE" w:rsidP="004F3CCC">
            <w:pPr>
              <w:shd w:val="clear" w:color="auto" w:fill="FFFFFF"/>
              <w:ind w:left="142"/>
              <w:jc w:val="both"/>
              <w:rPr>
                <w:i/>
                <w:lang w:eastAsia="ru-RU"/>
              </w:rPr>
            </w:pPr>
            <w:r w:rsidRPr="009444A1">
              <w:rPr>
                <w:i/>
                <w:lang w:eastAsia="ru-RU"/>
              </w:rPr>
              <w:t xml:space="preserve">1.1.3.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1C72AE" w:rsidRPr="009444A1" w:rsidRDefault="001C72AE" w:rsidP="004F3CCC">
            <w:pPr>
              <w:shd w:val="clear" w:color="auto" w:fill="FFFFFF"/>
              <w:ind w:left="142"/>
              <w:jc w:val="both"/>
              <w:rPr>
                <w:b/>
                <w:i/>
                <w:lang w:eastAsia="ru-RU"/>
              </w:rPr>
            </w:pPr>
            <w:r w:rsidRPr="009444A1">
              <w:rPr>
                <w:b/>
                <w:i/>
                <w:lang w:eastAsia="ru-RU"/>
              </w:rPr>
              <w:t>Аналогічним вважається договір, за яким учасник постачав електричну енергію незалежно від того, чи включались послуги  з передачі та/або розподілу;</w:t>
            </w:r>
          </w:p>
          <w:p w:rsidR="001C72AE" w:rsidRPr="009444A1" w:rsidRDefault="001C72AE" w:rsidP="004F3CCC">
            <w:pPr>
              <w:shd w:val="clear" w:color="auto" w:fill="FFFFFF"/>
              <w:ind w:left="142"/>
              <w:jc w:val="both"/>
              <w:rPr>
                <w:i/>
                <w:lang w:eastAsia="ru-RU"/>
              </w:rPr>
            </w:pPr>
            <w:r w:rsidRPr="009444A1">
              <w:rPr>
                <w:b/>
                <w:i/>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Pr="009444A1">
              <w:rPr>
                <w:i/>
                <w:lang w:eastAsia="ru-RU"/>
              </w:rPr>
              <w:t xml:space="preserve"> </w:t>
            </w:r>
          </w:p>
        </w:tc>
      </w:tr>
      <w:tr w:rsidR="00042E90" w:rsidRPr="009444A1" w:rsidTr="009A4B2C">
        <w:trPr>
          <w:trHeight w:val="157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E90" w:rsidRPr="009444A1" w:rsidRDefault="00042E90" w:rsidP="004F3CCC">
            <w:pPr>
              <w:shd w:val="clear" w:color="auto" w:fill="FFFFFF"/>
              <w:ind w:left="142"/>
              <w:jc w:val="both"/>
              <w:rPr>
                <w:b/>
                <w:i/>
                <w:lang w:eastAsia="ru-RU"/>
              </w:rPr>
            </w:pPr>
            <w:r>
              <w:rPr>
                <w:b/>
                <w:i/>
                <w:lang w:eastAsia="ru-RU"/>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E90" w:rsidRPr="009444A1" w:rsidRDefault="009A4B2C" w:rsidP="004F3CCC">
            <w:pPr>
              <w:shd w:val="clear" w:color="auto" w:fill="FFFFFF"/>
              <w:ind w:left="142"/>
              <w:jc w:val="both"/>
              <w:rPr>
                <w:b/>
                <w:i/>
                <w:lang w:eastAsia="ru-RU"/>
              </w:rPr>
            </w:pPr>
            <w:r>
              <w:rPr>
                <w:b/>
                <w:i/>
                <w:lang w:eastAsia="ru-RU"/>
              </w:rPr>
              <w:t>Н</w:t>
            </w:r>
            <w:r w:rsidRPr="009A4B2C">
              <w:rPr>
                <w:b/>
                <w:i/>
                <w:lang w:eastAsia="ru-RU"/>
              </w:rPr>
              <w:t>аявність фінансової спроможності, яка підтверджується фінансовою звітністю</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B8F" w:rsidRDefault="00971B8F" w:rsidP="00971B8F">
            <w:pPr>
              <w:ind w:firstLine="192"/>
              <w:jc w:val="both"/>
              <w:rPr>
                <w:color w:val="000000"/>
                <w:lang w:eastAsia="ru-RU"/>
              </w:rPr>
            </w:pPr>
            <w:r w:rsidRPr="003C7569">
              <w:rPr>
                <w:color w:val="000000"/>
                <w:lang w:eastAsia="ru-RU"/>
              </w:rPr>
              <w:t xml:space="preserve">Фінансова спроможність учасника підтверджується фінансовою звітністю за </w:t>
            </w:r>
            <w:r>
              <w:rPr>
                <w:color w:val="000000"/>
                <w:lang w:eastAsia="ru-RU"/>
              </w:rPr>
              <w:t xml:space="preserve">останній звітній рік. </w:t>
            </w:r>
          </w:p>
          <w:p w:rsidR="00971B8F" w:rsidRDefault="00971B8F" w:rsidP="00971B8F">
            <w:pPr>
              <w:ind w:firstLine="334"/>
              <w:jc w:val="both"/>
              <w:rPr>
                <w:rFonts w:eastAsia="Arial"/>
              </w:rPr>
            </w:pPr>
            <w:r>
              <w:rPr>
                <w:rFonts w:eastAsia="Arial"/>
              </w:rPr>
              <w:t>У</w:t>
            </w:r>
            <w:r w:rsidRPr="004E62ED">
              <w:rPr>
                <w:rFonts w:eastAsia="Arial"/>
              </w:rPr>
              <w:t xml:space="preserve">часник надає документи фінансової звітності </w:t>
            </w:r>
            <w:r>
              <w:rPr>
                <w:rFonts w:eastAsia="Arial"/>
              </w:rPr>
              <w:t xml:space="preserve">(баланс, звіт про фінансові результати, звіт про рух грошових коштів) </w:t>
            </w:r>
            <w:r w:rsidRPr="004E62ED">
              <w:rPr>
                <w:rFonts w:eastAsia="Arial"/>
              </w:rPr>
              <w:t xml:space="preserve">за останній звітній рік, які підтверджують, що обсяг річного доходу (виручки) учасника </w:t>
            </w:r>
            <w:r w:rsidRPr="00550B4A">
              <w:rPr>
                <w:rFonts w:eastAsia="Arial"/>
              </w:rPr>
              <w:t xml:space="preserve">закупівлі за </w:t>
            </w:r>
            <w:r w:rsidRPr="00550B4A">
              <w:rPr>
                <w:rFonts w:eastAsia="Arial"/>
              </w:rPr>
              <w:lastRenderedPageBreak/>
              <w:t xml:space="preserve">відповідний період не є меншим ніж </w:t>
            </w:r>
            <w:r>
              <w:rPr>
                <w:rFonts w:eastAsia="Arial"/>
              </w:rPr>
              <w:t>911 5</w:t>
            </w:r>
            <w:r w:rsidRPr="00550B4A">
              <w:rPr>
                <w:rFonts w:eastAsia="Arial"/>
              </w:rPr>
              <w:t>00</w:t>
            </w:r>
            <w:r>
              <w:rPr>
                <w:rFonts w:eastAsia="Arial"/>
              </w:rPr>
              <w:t>,00</w:t>
            </w:r>
            <w:r w:rsidRPr="00550B4A">
              <w:rPr>
                <w:rFonts w:eastAsia="Arial"/>
              </w:rPr>
              <w:t xml:space="preserve"> грн.</w:t>
            </w:r>
            <w:r w:rsidRPr="004E62ED">
              <w:rPr>
                <w:rFonts w:eastAsia="Arial"/>
              </w:rPr>
              <w:t xml:space="preserve"> </w:t>
            </w:r>
          </w:p>
          <w:p w:rsidR="00971B8F" w:rsidRPr="00DC7663" w:rsidRDefault="00971B8F" w:rsidP="00971B8F">
            <w:pPr>
              <w:ind w:firstLine="192"/>
              <w:jc w:val="both"/>
              <w:rPr>
                <w:rFonts w:eastAsia="Arial"/>
              </w:rPr>
            </w:pPr>
            <w:r w:rsidRPr="00B0111D">
              <w:rPr>
                <w:rFonts w:eastAsia="Arial"/>
              </w:rPr>
              <w:t>Звітним періодом для складання фінансової звітності є календарний рік.</w:t>
            </w:r>
            <w:r>
              <w:rPr>
                <w:rFonts w:eastAsia="Arial"/>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042E90" w:rsidRPr="009444A1" w:rsidRDefault="00971B8F" w:rsidP="00971B8F">
            <w:pPr>
              <w:shd w:val="clear" w:color="auto" w:fill="FFFFFF"/>
              <w:ind w:left="142"/>
              <w:jc w:val="both"/>
              <w:rPr>
                <w:i/>
                <w:lang w:eastAsia="ru-RU"/>
              </w:rPr>
            </w:pPr>
            <w:r w:rsidRPr="00B0111D">
              <w:rPr>
                <w:rFonts w:eastAsia="Arial"/>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1C72AE" w:rsidRPr="009444A1" w:rsidRDefault="001C72AE" w:rsidP="001C72AE">
      <w:pPr>
        <w:shd w:val="clear" w:color="auto" w:fill="FFFFFF"/>
        <w:ind w:left="142"/>
        <w:jc w:val="both"/>
        <w:rPr>
          <w:i/>
          <w:lang w:eastAsia="ru-RU"/>
        </w:rPr>
      </w:pPr>
      <w:r w:rsidRPr="009444A1">
        <w:rPr>
          <w:i/>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72AE" w:rsidRDefault="001C72AE" w:rsidP="001C72AE">
      <w:pPr>
        <w:shd w:val="clear" w:color="auto" w:fill="FFFFFF"/>
        <w:suppressAutoHyphens w:val="0"/>
        <w:jc w:val="both"/>
        <w:rPr>
          <w:b/>
          <w:color w:val="000000"/>
          <w:lang w:eastAsia="ru-RU"/>
        </w:rPr>
      </w:pPr>
    </w:p>
    <w:p w:rsidR="009952D8" w:rsidRPr="006804DA" w:rsidRDefault="009952D8" w:rsidP="009952D8">
      <w:pPr>
        <w:pStyle w:val="a5"/>
        <w:numPr>
          <w:ilvl w:val="0"/>
          <w:numId w:val="17"/>
        </w:numPr>
        <w:shd w:val="clear" w:color="auto" w:fill="FFFFFF"/>
        <w:ind w:left="0" w:firstLine="360"/>
        <w:jc w:val="both"/>
        <w:rPr>
          <w:rFonts w:ascii="Times New Roman" w:hAnsi="Times New Roman" w:cs="Times New Roman"/>
          <w:b/>
          <w:sz w:val="24"/>
          <w:szCs w:val="24"/>
        </w:rPr>
      </w:pPr>
      <w:r w:rsidRPr="006804DA">
        <w:rPr>
          <w:rFonts w:ascii="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952D8" w:rsidRPr="006804DA" w:rsidRDefault="009952D8" w:rsidP="009952D8">
      <w:pPr>
        <w:pBdr>
          <w:top w:val="nil"/>
          <w:left w:val="nil"/>
          <w:bottom w:val="nil"/>
          <w:right w:val="nil"/>
          <w:between w:val="nil"/>
        </w:pBdr>
        <w:ind w:firstLine="720"/>
        <w:jc w:val="both"/>
        <w:rPr>
          <w:lang w:eastAsia="ru-RU"/>
        </w:rPr>
      </w:pPr>
      <w:r w:rsidRPr="006804DA">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52D8" w:rsidRPr="006804DA" w:rsidRDefault="009952D8" w:rsidP="009952D8">
      <w:pPr>
        <w:pBdr>
          <w:top w:val="nil"/>
          <w:left w:val="nil"/>
          <w:bottom w:val="nil"/>
          <w:right w:val="nil"/>
          <w:between w:val="nil"/>
        </w:pBdr>
        <w:ind w:firstLine="720"/>
        <w:jc w:val="both"/>
        <w:rPr>
          <w:lang w:eastAsia="ru-RU"/>
        </w:rPr>
      </w:pPr>
      <w:r w:rsidRPr="006804DA">
        <w:rPr>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52D8" w:rsidRPr="006804DA" w:rsidRDefault="009952D8" w:rsidP="009952D8">
      <w:pPr>
        <w:pBdr>
          <w:top w:val="nil"/>
          <w:left w:val="nil"/>
          <w:bottom w:val="nil"/>
          <w:right w:val="nil"/>
          <w:between w:val="nil"/>
        </w:pBdr>
        <w:ind w:firstLine="720"/>
        <w:jc w:val="both"/>
        <w:rPr>
          <w:lang w:eastAsia="ru-RU"/>
        </w:rPr>
      </w:pPr>
      <w:r w:rsidRPr="006804DA">
        <w:rP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52D8" w:rsidRPr="006804DA" w:rsidRDefault="009952D8" w:rsidP="009952D8">
      <w:pPr>
        <w:pBdr>
          <w:top w:val="nil"/>
          <w:left w:val="nil"/>
          <w:bottom w:val="nil"/>
          <w:right w:val="nil"/>
          <w:between w:val="nil"/>
        </w:pBdr>
        <w:ind w:firstLine="720"/>
        <w:jc w:val="both"/>
        <w:rPr>
          <w:lang w:eastAsia="ru-RU"/>
        </w:rPr>
      </w:pPr>
      <w:r w:rsidRPr="006804DA">
        <w:rPr>
          <w:lang w:eastAsia="ru-RU"/>
        </w:rPr>
        <w:t xml:space="preserve">Учасник повинен надати </w:t>
      </w:r>
      <w:r w:rsidRPr="006804DA">
        <w:rPr>
          <w:b/>
          <w:lang w:eastAsia="ru-RU"/>
        </w:rPr>
        <w:t>довідку у довільній формі</w:t>
      </w:r>
      <w:r w:rsidRPr="006804DA">
        <w:rPr>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52D8" w:rsidRPr="006804DA" w:rsidRDefault="009952D8" w:rsidP="009952D8">
      <w:pPr>
        <w:pBdr>
          <w:top w:val="nil"/>
          <w:left w:val="nil"/>
          <w:bottom w:val="nil"/>
          <w:right w:val="nil"/>
          <w:between w:val="nil"/>
        </w:pBdr>
        <w:ind w:firstLine="720"/>
        <w:jc w:val="both"/>
        <w:rPr>
          <w:lang w:eastAsia="ru-RU"/>
        </w:rPr>
      </w:pPr>
      <w:r w:rsidRPr="006804DA">
        <w:rPr>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52D8" w:rsidRPr="006804DA" w:rsidRDefault="009952D8" w:rsidP="009952D8">
      <w:pPr>
        <w:pBdr>
          <w:top w:val="nil"/>
          <w:left w:val="nil"/>
          <w:bottom w:val="nil"/>
          <w:right w:val="nil"/>
          <w:between w:val="nil"/>
        </w:pBdr>
        <w:spacing w:before="240"/>
        <w:ind w:firstLine="720"/>
        <w:jc w:val="both"/>
        <w:rPr>
          <w:b/>
          <w:lang w:eastAsia="ru-RU"/>
        </w:rPr>
      </w:pPr>
      <w:r w:rsidRPr="006804DA">
        <w:rPr>
          <w:b/>
          <w:lang w:eastAsia="ru-RU"/>
        </w:rPr>
        <w:t xml:space="preserve">3. </w:t>
      </w:r>
      <w:r w:rsidRPr="006804DA">
        <w:rPr>
          <w:b/>
          <w:color w:val="000000"/>
          <w:lang w:eastAsia="ru-RU"/>
        </w:rPr>
        <w:t>Перелік документів та інформації  для підтвердження відповідності ПЕРЕМОЖЦЯ вимогам, визначеним у пункті 47 Особливостей:</w:t>
      </w:r>
    </w:p>
    <w:p w:rsidR="009952D8" w:rsidRPr="006804DA" w:rsidRDefault="009952D8" w:rsidP="009952D8">
      <w:pPr>
        <w:ind w:firstLine="567"/>
        <w:jc w:val="both"/>
        <w:rPr>
          <w:lang w:eastAsia="ru-RU"/>
        </w:rPr>
      </w:pPr>
      <w:r w:rsidRPr="006804DA">
        <w:rPr>
          <w:lang w:eastAsia="ru-RU"/>
        </w:rPr>
        <w:t xml:space="preserve">Переможець процедури закупівлі у строк, що </w:t>
      </w:r>
      <w:r w:rsidRPr="006804DA">
        <w:rPr>
          <w:b/>
          <w:i/>
          <w:lang w:eastAsia="ru-RU"/>
        </w:rPr>
        <w:t xml:space="preserve">не перевищує чотири дні </w:t>
      </w:r>
      <w:r w:rsidRPr="006804DA">
        <w:rPr>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952D8" w:rsidRPr="006804DA" w:rsidRDefault="009952D8" w:rsidP="009952D8">
      <w:pPr>
        <w:ind w:firstLine="567"/>
        <w:jc w:val="both"/>
        <w:rPr>
          <w:lang w:eastAsia="ru-RU"/>
        </w:rPr>
      </w:pPr>
      <w:r w:rsidRPr="006804DA">
        <w:rPr>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A4B2C" w:rsidRPr="006804DA" w:rsidRDefault="009A4B2C" w:rsidP="009952D8">
      <w:pPr>
        <w:ind w:firstLine="567"/>
        <w:jc w:val="both"/>
        <w:rPr>
          <w:lang w:eastAsia="ru-RU"/>
        </w:rPr>
      </w:pPr>
    </w:p>
    <w:p w:rsidR="009952D8" w:rsidRPr="006804DA" w:rsidRDefault="009952D8" w:rsidP="009952D8">
      <w:pPr>
        <w:rPr>
          <w:b/>
        </w:rPr>
      </w:pPr>
      <w:r w:rsidRPr="006804DA">
        <w:rPr>
          <w:b/>
        </w:rPr>
        <w:t>3.1. Документи, які надаються ПЕРЕМОЖЦЕМ (юридичною особою):</w:t>
      </w:r>
    </w:p>
    <w:tbl>
      <w:tblPr>
        <w:tblW w:w="10290" w:type="dxa"/>
        <w:tblInd w:w="-100" w:type="dxa"/>
        <w:tblLayout w:type="fixed"/>
        <w:tblLook w:val="0400" w:firstRow="0" w:lastRow="0" w:firstColumn="0" w:lastColumn="0" w:noHBand="0" w:noVBand="1"/>
      </w:tblPr>
      <w:tblGrid>
        <w:gridCol w:w="765"/>
        <w:gridCol w:w="4347"/>
        <w:gridCol w:w="5178"/>
      </w:tblGrid>
      <w:tr w:rsidR="009952D8" w:rsidRPr="006804DA" w:rsidTr="009952D8">
        <w:trPr>
          <w:trHeight w:val="7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w:t>
            </w:r>
          </w:p>
          <w:p w:rsidR="009952D8" w:rsidRPr="006804DA" w:rsidRDefault="009952D8" w:rsidP="003E0485">
            <w:pPr>
              <w:ind w:left="100"/>
              <w:jc w:val="center"/>
            </w:pPr>
            <w:r w:rsidRPr="006804DA">
              <w:rPr>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2D8" w:rsidRPr="006804DA" w:rsidRDefault="009952D8" w:rsidP="003E0485">
            <w:pPr>
              <w:ind w:left="100"/>
              <w:jc w:val="center"/>
            </w:pPr>
            <w:r w:rsidRPr="006804DA">
              <w:rPr>
                <w:b/>
                <w:sz w:val="22"/>
                <w:szCs w:val="22"/>
              </w:rPr>
              <w:t xml:space="preserve">Вимоги </w:t>
            </w:r>
            <w:r w:rsidRPr="006804DA">
              <w:rPr>
                <w:sz w:val="22"/>
                <w:szCs w:val="22"/>
              </w:rPr>
              <w:t>згідно з п. 47 Особливостей</w:t>
            </w:r>
          </w:p>
          <w:p w:rsidR="009952D8" w:rsidRPr="006804DA" w:rsidRDefault="009952D8" w:rsidP="003E0485">
            <w:pPr>
              <w:ind w:left="100"/>
              <w:jc w:val="cente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 xml:space="preserve">Переможець торгів на виконання вимоги </w:t>
            </w:r>
            <w:r w:rsidRPr="006804DA">
              <w:rPr>
                <w:sz w:val="22"/>
                <w:szCs w:val="22"/>
              </w:rPr>
              <w:t>згідно з п. 47 Особливостей</w:t>
            </w:r>
            <w:r w:rsidRPr="006804DA">
              <w:rPr>
                <w:b/>
                <w:sz w:val="22"/>
                <w:szCs w:val="22"/>
              </w:rPr>
              <w:t xml:space="preserve"> (підтвердження відсутності підстав) повинен надати таку інформацію:</w:t>
            </w:r>
          </w:p>
        </w:tc>
      </w:tr>
      <w:tr w:rsidR="009952D8" w:rsidRPr="006804DA" w:rsidTr="001C72AE">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6804DA" w:rsidRDefault="009952D8" w:rsidP="003E0485">
            <w:pPr>
              <w:widowControl w:val="0"/>
              <w:spacing w:before="120"/>
              <w:jc w:val="both"/>
            </w:pPr>
            <w:r w:rsidRPr="006804D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52D8" w:rsidRPr="006804DA" w:rsidRDefault="009952D8" w:rsidP="003E0485">
            <w:pPr>
              <w:jc w:val="both"/>
              <w:rPr>
                <w:b/>
              </w:rPr>
            </w:pPr>
            <w:r w:rsidRPr="006804DA">
              <w:rPr>
                <w:b/>
                <w:sz w:val="22"/>
                <w:szCs w:val="22"/>
              </w:rPr>
              <w:t>(підпункт 3 пункт 47 Особливостей)</w:t>
            </w:r>
          </w:p>
        </w:tc>
        <w:tc>
          <w:tcPr>
            <w:tcW w:w="51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6804DA" w:rsidRDefault="009952D8" w:rsidP="003E0485">
            <w:pPr>
              <w:ind w:right="140"/>
              <w:jc w:val="both"/>
            </w:pPr>
            <w:r w:rsidRPr="006804DA">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04DA">
              <w:rPr>
                <w:sz w:val="22"/>
                <w:szCs w:val="22"/>
              </w:rPr>
              <w:t>керівника</w:t>
            </w:r>
            <w:r w:rsidRPr="006804DA">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52D8" w:rsidRPr="006804DA" w:rsidTr="003E0485">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6804DA" w:rsidRDefault="009952D8" w:rsidP="003E0485">
            <w:pPr>
              <w:widowControl w:val="0"/>
              <w:spacing w:before="120"/>
              <w:jc w:val="both"/>
            </w:pPr>
            <w:r w:rsidRPr="006804D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52D8" w:rsidRPr="006804DA" w:rsidRDefault="009952D8" w:rsidP="003E0485">
            <w:pPr>
              <w:ind w:right="140"/>
              <w:jc w:val="both"/>
              <w:rPr>
                <w:b/>
              </w:rPr>
            </w:pPr>
            <w:r w:rsidRPr="006804DA">
              <w:rPr>
                <w:b/>
                <w:sz w:val="22"/>
                <w:szCs w:val="22"/>
              </w:rPr>
              <w:t>(підпункт 6 пункт 47 Особливостей)</w:t>
            </w:r>
          </w:p>
        </w:tc>
        <w:tc>
          <w:tcPr>
            <w:tcW w:w="518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9952D8" w:rsidRPr="006804DA" w:rsidRDefault="009952D8" w:rsidP="003E0485">
            <w:pPr>
              <w:jc w:val="both"/>
              <w:rPr>
                <w:b/>
              </w:rPr>
            </w:pPr>
            <w:r w:rsidRPr="006804DA">
              <w:rPr>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952D8" w:rsidRPr="006804DA" w:rsidRDefault="009952D8" w:rsidP="003E0485">
            <w:pPr>
              <w:rPr>
                <w:b/>
              </w:rPr>
            </w:pPr>
            <w:r w:rsidRPr="006804DA">
              <w:rPr>
                <w:b/>
                <w:sz w:val="22"/>
                <w:szCs w:val="22"/>
              </w:rPr>
              <w:t>Документ повинен бути не більше тридцятиденної давнини від дати подання документа.</w:t>
            </w:r>
            <w:r w:rsidRPr="006804DA">
              <w:rPr>
                <w:sz w:val="22"/>
                <w:szCs w:val="22"/>
              </w:rPr>
              <w:t> </w:t>
            </w:r>
          </w:p>
        </w:tc>
      </w:tr>
      <w:tr w:rsidR="009952D8" w:rsidRPr="006804DA" w:rsidTr="003E0485">
        <w:trPr>
          <w:trHeight w:val="1703"/>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6804DA" w:rsidRDefault="009952D8" w:rsidP="003E0485">
            <w:pPr>
              <w:widowControl w:val="0"/>
              <w:spacing w:before="120"/>
              <w:jc w:val="both"/>
            </w:pPr>
            <w:r w:rsidRPr="006804D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52D8" w:rsidRPr="006804DA" w:rsidRDefault="009952D8" w:rsidP="003E0485">
            <w:pPr>
              <w:jc w:val="both"/>
              <w:rPr>
                <w:b/>
              </w:rPr>
            </w:pPr>
            <w:r w:rsidRPr="006804DA">
              <w:rPr>
                <w:b/>
                <w:sz w:val="22"/>
                <w:szCs w:val="22"/>
              </w:rPr>
              <w:t>(підпункт 12 пункт 47 Особливостей)</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9952D8" w:rsidRPr="006804DA" w:rsidRDefault="009952D8" w:rsidP="003E0485">
            <w:pPr>
              <w:rPr>
                <w:b/>
              </w:rPr>
            </w:pPr>
          </w:p>
        </w:tc>
      </w:tr>
      <w:tr w:rsidR="009952D8" w:rsidRPr="006804DA" w:rsidTr="006804DA">
        <w:trPr>
          <w:trHeight w:val="4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rPr>
                <w:b/>
              </w:rPr>
            </w:pPr>
            <w:r w:rsidRPr="006804DA">
              <w:rPr>
                <w:b/>
                <w:sz w:val="22"/>
                <w:szCs w:val="22"/>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jc w:val="both"/>
            </w:pPr>
            <w:r w:rsidRPr="006804DA">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52D8" w:rsidRPr="006804DA" w:rsidRDefault="009952D8" w:rsidP="003E0485">
            <w:pPr>
              <w:jc w:val="both"/>
              <w:rPr>
                <w:b/>
              </w:rPr>
            </w:pPr>
            <w:r w:rsidRPr="006804DA">
              <w:rPr>
                <w:b/>
                <w:sz w:val="22"/>
                <w:szCs w:val="22"/>
              </w:rPr>
              <w:t>(абзац 14 пункт 47 Особливостей)</w:t>
            </w:r>
          </w:p>
        </w:tc>
        <w:tc>
          <w:tcPr>
            <w:tcW w:w="51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spacing w:after="348"/>
              <w:jc w:val="both"/>
            </w:pPr>
            <w:r w:rsidRPr="006804DA">
              <w:rPr>
                <w:b/>
                <w:sz w:val="22"/>
                <w:szCs w:val="22"/>
              </w:rPr>
              <w:t>Довідка в довільній формі</w:t>
            </w:r>
            <w:r w:rsidRPr="006804DA">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1C72AE" w:rsidRPr="006804DA">
              <w:rPr>
                <w:sz w:val="22"/>
                <w:szCs w:val="22"/>
              </w:rPr>
              <w:t>відшкодування завданих збитків.</w:t>
            </w:r>
          </w:p>
        </w:tc>
      </w:tr>
    </w:tbl>
    <w:p w:rsidR="009952D8" w:rsidRDefault="009952D8" w:rsidP="009952D8">
      <w:pPr>
        <w:ind w:firstLine="567"/>
        <w:jc w:val="both"/>
        <w:rPr>
          <w:lang w:eastAsia="ru-RU"/>
        </w:rPr>
      </w:pPr>
    </w:p>
    <w:p w:rsidR="006804DA" w:rsidRDefault="006804DA" w:rsidP="009952D8">
      <w:pPr>
        <w:ind w:firstLine="567"/>
        <w:jc w:val="both"/>
        <w:rPr>
          <w:lang w:eastAsia="ru-RU"/>
        </w:rPr>
      </w:pPr>
    </w:p>
    <w:p w:rsidR="009952D8" w:rsidRPr="006804DA" w:rsidRDefault="009952D8" w:rsidP="009952D8">
      <w:pPr>
        <w:spacing w:before="240"/>
        <w:jc w:val="both"/>
      </w:pPr>
      <w:r w:rsidRPr="006804DA">
        <w:rPr>
          <w:b/>
        </w:rPr>
        <w:t>3.2. Документи, які надаються ПЕРЕМОЖЦЕМ (фізичною особою чи фізичною особою — підприємцем):</w:t>
      </w:r>
    </w:p>
    <w:tbl>
      <w:tblPr>
        <w:tblW w:w="10290" w:type="dxa"/>
        <w:tblInd w:w="-100" w:type="dxa"/>
        <w:tblLayout w:type="fixed"/>
        <w:tblLook w:val="0400" w:firstRow="0" w:lastRow="0" w:firstColumn="0" w:lastColumn="0" w:noHBand="0" w:noVBand="1"/>
      </w:tblPr>
      <w:tblGrid>
        <w:gridCol w:w="587"/>
        <w:gridCol w:w="4424"/>
        <w:gridCol w:w="5279"/>
      </w:tblGrid>
      <w:tr w:rsidR="009952D8" w:rsidRPr="006804DA" w:rsidTr="003E04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w:t>
            </w:r>
          </w:p>
          <w:p w:rsidR="009952D8" w:rsidRPr="006804DA" w:rsidRDefault="009952D8" w:rsidP="003E0485">
            <w:pPr>
              <w:ind w:left="100"/>
              <w:jc w:val="center"/>
            </w:pPr>
            <w:r w:rsidRPr="006804DA">
              <w:rPr>
                <w:b/>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2D8" w:rsidRPr="006804DA" w:rsidRDefault="009952D8" w:rsidP="003E0485">
            <w:pPr>
              <w:ind w:left="100"/>
              <w:jc w:val="center"/>
            </w:pPr>
            <w:r w:rsidRPr="006804DA">
              <w:rPr>
                <w:b/>
                <w:sz w:val="22"/>
                <w:szCs w:val="22"/>
              </w:rPr>
              <w:t xml:space="preserve">Вимоги </w:t>
            </w:r>
            <w:r w:rsidRPr="006804DA">
              <w:rPr>
                <w:sz w:val="22"/>
                <w:szCs w:val="22"/>
              </w:rPr>
              <w:t>згідно з пунктом 47 Особливостей</w:t>
            </w:r>
          </w:p>
          <w:p w:rsidR="009952D8" w:rsidRPr="006804DA" w:rsidRDefault="009952D8" w:rsidP="003E0485">
            <w:pPr>
              <w:ind w:left="100"/>
              <w:jc w:val="cente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 xml:space="preserve">Переможець торгів на виконання вимоги </w:t>
            </w:r>
            <w:r w:rsidRPr="006804DA">
              <w:rPr>
                <w:sz w:val="22"/>
                <w:szCs w:val="22"/>
              </w:rPr>
              <w:t>згідно з пунктом 47 Особливостей</w:t>
            </w:r>
            <w:r w:rsidRPr="006804DA">
              <w:rPr>
                <w:b/>
                <w:sz w:val="22"/>
                <w:szCs w:val="22"/>
              </w:rPr>
              <w:t xml:space="preserve"> (підтвердження відсутності підстав) повинен надати таку інформацію:</w:t>
            </w:r>
          </w:p>
        </w:tc>
      </w:tr>
      <w:tr w:rsidR="009952D8" w:rsidRPr="006804DA" w:rsidTr="003E04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6804DA" w:rsidRDefault="009952D8" w:rsidP="003E0485">
            <w:pPr>
              <w:widowControl w:val="0"/>
              <w:spacing w:before="120"/>
              <w:jc w:val="both"/>
            </w:pPr>
            <w:r w:rsidRPr="006804D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52D8" w:rsidRPr="006804DA" w:rsidRDefault="009952D8" w:rsidP="003E0485">
            <w:pPr>
              <w:jc w:val="both"/>
              <w:rPr>
                <w:b/>
              </w:rPr>
            </w:pPr>
            <w:r w:rsidRPr="006804DA">
              <w:rPr>
                <w:b/>
                <w:sz w:val="22"/>
                <w:szCs w:val="22"/>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952D8" w:rsidRPr="006804DA" w:rsidRDefault="009952D8" w:rsidP="003E0485">
            <w:pPr>
              <w:ind w:right="140"/>
              <w:jc w:val="both"/>
            </w:pPr>
            <w:r w:rsidRPr="006804DA">
              <w:rPr>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52D8" w:rsidRPr="006804DA" w:rsidTr="003E0485">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6804DA" w:rsidRDefault="009952D8" w:rsidP="003E0485">
            <w:pPr>
              <w:widowControl w:val="0"/>
              <w:spacing w:before="120"/>
              <w:jc w:val="both"/>
            </w:pPr>
            <w:r w:rsidRPr="006804DA">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52D8" w:rsidRPr="006804DA" w:rsidRDefault="009952D8" w:rsidP="003E0485">
            <w:pPr>
              <w:widowControl w:val="0"/>
              <w:spacing w:before="120"/>
              <w:jc w:val="both"/>
              <w:rPr>
                <w:b/>
              </w:rPr>
            </w:pPr>
            <w:r w:rsidRPr="006804DA">
              <w:rPr>
                <w:b/>
                <w:sz w:val="22"/>
                <w:szCs w:val="22"/>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952D8" w:rsidRPr="006804DA" w:rsidRDefault="009952D8" w:rsidP="003E0485">
            <w:pPr>
              <w:jc w:val="both"/>
              <w:rPr>
                <w:b/>
              </w:rPr>
            </w:pPr>
            <w:r w:rsidRPr="006804DA">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52D8" w:rsidRPr="006804DA" w:rsidRDefault="009952D8" w:rsidP="003E0485">
            <w:pPr>
              <w:jc w:val="both"/>
              <w:rPr>
                <w:b/>
              </w:rPr>
            </w:pPr>
          </w:p>
          <w:p w:rsidR="009952D8" w:rsidRPr="006804DA" w:rsidRDefault="009952D8" w:rsidP="003E0485">
            <w:pPr>
              <w:jc w:val="both"/>
            </w:pPr>
            <w:r w:rsidRPr="006804DA">
              <w:rPr>
                <w:b/>
                <w:sz w:val="22"/>
                <w:szCs w:val="22"/>
              </w:rPr>
              <w:t>Документ повинен бути не більше тридцятиденної давнини від дати подання документа.</w:t>
            </w:r>
            <w:r w:rsidRPr="006804DA">
              <w:rPr>
                <w:sz w:val="22"/>
                <w:szCs w:val="22"/>
              </w:rPr>
              <w:t> </w:t>
            </w:r>
          </w:p>
        </w:tc>
      </w:tr>
      <w:tr w:rsidR="009952D8" w:rsidRPr="006804DA" w:rsidTr="003E0485">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952D8" w:rsidRPr="006804DA" w:rsidRDefault="009952D8" w:rsidP="003E0485">
            <w:pPr>
              <w:ind w:left="100"/>
              <w:jc w:val="center"/>
            </w:pPr>
            <w:r w:rsidRPr="006804DA">
              <w:rPr>
                <w:b/>
                <w:sz w:val="22"/>
                <w:szCs w:val="22"/>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952D8" w:rsidRPr="006804DA" w:rsidRDefault="009952D8" w:rsidP="003E0485">
            <w:pPr>
              <w:widowControl w:val="0"/>
              <w:spacing w:before="120"/>
              <w:jc w:val="both"/>
            </w:pPr>
            <w:r w:rsidRPr="006804DA">
              <w:rPr>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6804DA">
              <w:rPr>
                <w:sz w:val="22"/>
                <w:szCs w:val="22"/>
              </w:rPr>
              <w:lastRenderedPageBreak/>
              <w:t>формами торгівлі людьми.</w:t>
            </w:r>
          </w:p>
          <w:p w:rsidR="009952D8" w:rsidRPr="006804DA" w:rsidRDefault="009952D8" w:rsidP="003E0485">
            <w:pPr>
              <w:jc w:val="both"/>
            </w:pPr>
            <w:r w:rsidRPr="006804DA">
              <w:rPr>
                <w:b/>
                <w:sz w:val="22"/>
                <w:szCs w:val="22"/>
              </w:rPr>
              <w:t>(підпункт 12 пункт 47 Особливостей)</w:t>
            </w:r>
          </w:p>
        </w:tc>
        <w:tc>
          <w:tcPr>
            <w:tcW w:w="5282" w:type="dxa"/>
            <w:vMerge/>
            <w:tcBorders>
              <w:top w:val="single" w:sz="4" w:space="0" w:color="auto"/>
              <w:left w:val="single" w:sz="4" w:space="0" w:color="auto"/>
              <w:bottom w:val="single" w:sz="4" w:space="0" w:color="auto"/>
              <w:right w:val="single" w:sz="4" w:space="0" w:color="auto"/>
            </w:tcBorders>
            <w:vAlign w:val="center"/>
            <w:hideMark/>
          </w:tcPr>
          <w:p w:rsidR="009952D8" w:rsidRPr="006804DA" w:rsidRDefault="009952D8" w:rsidP="003E0485"/>
        </w:tc>
      </w:tr>
      <w:tr w:rsidR="009952D8" w:rsidRPr="006804DA" w:rsidTr="003E04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ind w:left="100"/>
              <w:jc w:val="center"/>
              <w:rPr>
                <w:b/>
              </w:rPr>
            </w:pPr>
            <w:r w:rsidRPr="006804DA">
              <w:rPr>
                <w:b/>
                <w:sz w:val="22"/>
                <w:szCs w:val="22"/>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jc w:val="both"/>
            </w:pPr>
            <w:r w:rsidRPr="006804DA">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52D8" w:rsidRPr="006804DA" w:rsidRDefault="009952D8" w:rsidP="003E0485">
            <w:pPr>
              <w:jc w:val="both"/>
              <w:rPr>
                <w:b/>
              </w:rPr>
            </w:pPr>
            <w:r w:rsidRPr="006804DA">
              <w:rPr>
                <w:b/>
                <w:sz w:val="22"/>
                <w:szCs w:val="22"/>
              </w:rPr>
              <w:t>(абзац 14 пункт 47 Особливостей)</w:t>
            </w:r>
          </w:p>
        </w:tc>
        <w:tc>
          <w:tcPr>
            <w:tcW w:w="528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952D8" w:rsidRPr="006804DA" w:rsidRDefault="009952D8" w:rsidP="003E0485">
            <w:pPr>
              <w:spacing w:after="348"/>
              <w:jc w:val="both"/>
            </w:pPr>
            <w:r w:rsidRPr="006804DA">
              <w:rPr>
                <w:b/>
                <w:sz w:val="22"/>
                <w:szCs w:val="22"/>
              </w:rPr>
              <w:t>Довідка в довільній формі</w:t>
            </w:r>
            <w:r w:rsidRPr="006804DA">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52D8" w:rsidRPr="006804DA" w:rsidRDefault="009952D8" w:rsidP="009952D8">
      <w:pPr>
        <w:ind w:firstLine="567"/>
        <w:jc w:val="both"/>
        <w:rPr>
          <w:sz w:val="22"/>
          <w:szCs w:val="22"/>
          <w:lang w:eastAsia="ru-RU"/>
        </w:rPr>
      </w:pPr>
    </w:p>
    <w:p w:rsidR="009952D8" w:rsidRPr="006804DA" w:rsidRDefault="009952D8" w:rsidP="009952D8">
      <w:pPr>
        <w:ind w:firstLine="567"/>
        <w:jc w:val="both"/>
        <w:rPr>
          <w:sz w:val="22"/>
          <w:szCs w:val="22"/>
          <w:lang w:eastAsia="ru-RU"/>
        </w:rPr>
      </w:pPr>
    </w:p>
    <w:p w:rsidR="00F928B1" w:rsidRPr="006804DA" w:rsidRDefault="009952D8" w:rsidP="006804DA">
      <w:pPr>
        <w:shd w:val="clear" w:color="auto" w:fill="FFFFFF"/>
        <w:spacing w:before="240"/>
        <w:jc w:val="both"/>
        <w:rPr>
          <w:b/>
          <w:color w:val="000000"/>
          <w:lang w:eastAsia="ru-RU"/>
        </w:rPr>
      </w:pPr>
      <w:r w:rsidRPr="00094D65">
        <w:rPr>
          <w:b/>
          <w:color w:val="000000"/>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F928B1" w:rsidRPr="00145A40" w:rsidTr="00861603">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928B1" w:rsidRPr="00145A40" w:rsidRDefault="00F928B1" w:rsidP="00861603">
            <w:pPr>
              <w:ind w:left="100"/>
              <w:jc w:val="center"/>
              <w:rPr>
                <w:b/>
                <w:bCs/>
                <w:color w:val="000000"/>
                <w:lang w:eastAsia="ru-RU"/>
              </w:rPr>
            </w:pPr>
            <w:r w:rsidRPr="00145A40">
              <w:rPr>
                <w:b/>
                <w:bCs/>
                <w:color w:val="000000"/>
                <w:lang w:eastAsia="ru-RU"/>
              </w:rPr>
              <w:t>Інші документи від Учасника</w:t>
            </w:r>
            <w:r>
              <w:rPr>
                <w:b/>
                <w:bCs/>
                <w:color w:val="000000"/>
                <w:lang w:eastAsia="ru-RU"/>
              </w:rPr>
              <w:t xml:space="preserve"> та вимоги до Учасника</w:t>
            </w:r>
            <w:r w:rsidRPr="00145A40">
              <w:rPr>
                <w:b/>
                <w:bCs/>
                <w:color w:val="000000"/>
                <w:lang w:eastAsia="ru-RU"/>
              </w:rPr>
              <w:t>:</w:t>
            </w:r>
          </w:p>
        </w:tc>
      </w:tr>
      <w:tr w:rsidR="00F928B1" w:rsidRPr="00B30B57" w:rsidTr="00861603">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B1" w:rsidRPr="00812E02" w:rsidRDefault="00F928B1" w:rsidP="00861603">
            <w:pPr>
              <w:ind w:left="100"/>
              <w:rPr>
                <w:b/>
                <w:bCs/>
                <w:lang w:eastAsia="ru-RU"/>
              </w:rPr>
            </w:pPr>
            <w:r w:rsidRPr="00812E02">
              <w:rPr>
                <w:b/>
                <w:bCs/>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B1" w:rsidRPr="00245EF6" w:rsidRDefault="00F928B1" w:rsidP="00861603">
            <w:pPr>
              <w:ind w:left="100"/>
              <w:jc w:val="both"/>
              <w:rPr>
                <w:color w:val="000000"/>
                <w:lang w:eastAsia="ru-RU"/>
              </w:rPr>
            </w:pPr>
            <w:r w:rsidRPr="00E40A10">
              <w:rPr>
                <w:rStyle w:val="af4"/>
              </w:rPr>
              <w:t>Достовірна інформація у вигляді довідки довільної форми</w:t>
            </w:r>
            <w:r>
              <w:rPr>
                <w:rStyle w:val="af4"/>
              </w:rPr>
              <w:t>,</w:t>
            </w:r>
            <w:r w:rsidRPr="00E40A10">
              <w:rPr>
                <w:rStyle w:val="af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f4"/>
              </w:rPr>
              <w:t xml:space="preserve"> </w:t>
            </w:r>
            <w:r w:rsidRPr="000421F4">
              <w:rPr>
                <w:rStyle w:val="af4"/>
                <w:i/>
                <w:iCs/>
              </w:rPr>
              <w:t>Замість довідки довільної форми учасник може надати чинну ліцензію або документ дозвільного характеру</w:t>
            </w:r>
            <w:r>
              <w:rPr>
                <w:rStyle w:val="af4"/>
                <w:i/>
                <w:iCs/>
              </w:rPr>
              <w:t xml:space="preserve"> </w:t>
            </w:r>
            <w:r>
              <w:rPr>
                <w:rStyle w:val="af4"/>
                <w:i/>
                <w:iCs/>
                <w:color w:val="000000" w:themeColor="text1"/>
              </w:rPr>
              <w:t>або відповідну Постанову НКРЕКП.</w:t>
            </w:r>
          </w:p>
        </w:tc>
      </w:tr>
      <w:tr w:rsidR="00F928B1" w:rsidRPr="0045644C" w:rsidTr="00861603">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B1" w:rsidRPr="00812E02" w:rsidRDefault="00F928B1" w:rsidP="00861603">
            <w:pPr>
              <w:ind w:left="100"/>
              <w:rPr>
                <w:b/>
                <w:bCs/>
                <w:highlight w:val="yellow"/>
                <w:lang w:eastAsia="ru-RU"/>
              </w:rPr>
            </w:pPr>
            <w:r w:rsidRPr="00812E02">
              <w:rPr>
                <w:b/>
                <w:bCs/>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B1" w:rsidRDefault="006804DA" w:rsidP="00861603">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jc w:val="both"/>
              <w:rPr>
                <w:b/>
                <w:color w:val="000000"/>
                <w:lang w:eastAsia="ru-RU"/>
              </w:rPr>
            </w:pPr>
            <w:r w:rsidRPr="00094D65">
              <w:rPr>
                <w:b/>
                <w:color w:val="000000"/>
                <w:lang w:eastAsia="ru-RU"/>
              </w:rPr>
              <w:t xml:space="preserve">Правомочність на укладення договору про закупівлю та підписання </w:t>
            </w:r>
            <w:r w:rsidRPr="00094D65">
              <w:rPr>
                <w:b/>
                <w:bCs/>
                <w:color w:val="000000"/>
                <w:lang w:eastAsia="ru-RU"/>
              </w:rPr>
              <w:t>тендерних</w:t>
            </w:r>
            <w:r w:rsidRPr="00094D65">
              <w:rPr>
                <w:b/>
                <w:color w:val="000000"/>
                <w:lang w:eastAsia="ru-RU"/>
              </w:rPr>
              <w:t xml:space="preserve"> пропозиції</w:t>
            </w:r>
          </w:p>
          <w:p w:rsidR="006804DA" w:rsidRPr="0065140B" w:rsidRDefault="006804DA" w:rsidP="006804DA">
            <w:pPr>
              <w:ind w:firstLine="423"/>
              <w:jc w:val="both"/>
              <w:rPr>
                <w:b/>
                <w:color w:val="000000"/>
                <w:lang w:eastAsia="ru-RU"/>
              </w:rPr>
            </w:pPr>
            <w:r w:rsidRPr="00094D65">
              <w:rPr>
                <w:b/>
                <w:color w:val="000000"/>
                <w:lang w:eastAsia="ru-RU"/>
              </w:rPr>
              <w:t>Для юридичних осіб</w:t>
            </w:r>
            <w:r w:rsidRPr="00094D65">
              <w:rPr>
                <w:color w:val="000000"/>
                <w:lang w:eastAsia="ru-RU"/>
              </w:rPr>
              <w:t xml:space="preserve"> </w:t>
            </w:r>
          </w:p>
          <w:p w:rsidR="006804DA" w:rsidRPr="00094D65" w:rsidRDefault="006804DA" w:rsidP="006804DA">
            <w:pPr>
              <w:ind w:firstLine="423"/>
              <w:jc w:val="both"/>
              <w:rPr>
                <w:color w:val="000000"/>
                <w:lang w:eastAsia="ru-RU"/>
              </w:rPr>
            </w:pPr>
            <w:r>
              <w:rPr>
                <w:color w:val="000000"/>
                <w:lang w:eastAsia="ru-RU"/>
              </w:rPr>
              <w:t>1.1</w:t>
            </w:r>
            <w:r w:rsidRPr="00094D65">
              <w:rPr>
                <w:color w:val="000000"/>
                <w:lang w:eastAsia="ru-RU"/>
              </w:rPr>
              <w:t xml:space="preserve">. Сканований оригінал або копія документу(ів), що підтверджує повноваження особи, на підпис </w:t>
            </w:r>
            <w:r w:rsidRPr="00094D65">
              <w:rPr>
                <w:bCs/>
                <w:color w:val="000000"/>
                <w:lang w:eastAsia="ru-RU"/>
              </w:rPr>
              <w:t>тендерної</w:t>
            </w:r>
            <w:r w:rsidRPr="00094D65">
              <w:rPr>
                <w:color w:val="000000"/>
                <w:lang w:eastAsia="ru-RU"/>
              </w:rPr>
              <w:t xml:space="preserve"> пропозиції та повноваження на підписання договору про закупівлю: </w:t>
            </w:r>
          </w:p>
          <w:p w:rsidR="006804DA" w:rsidRPr="00094D65" w:rsidRDefault="006804DA" w:rsidP="006804DA">
            <w:pPr>
              <w:ind w:firstLine="423"/>
              <w:jc w:val="both"/>
              <w:rPr>
                <w:color w:val="000000"/>
                <w:lang w:eastAsia="ru-RU"/>
              </w:rPr>
            </w:pPr>
            <w:r w:rsidRPr="00094D65">
              <w:rPr>
                <w:color w:val="000000"/>
                <w:lang w:eastAsia="ru-RU"/>
              </w:rPr>
              <w:t>- виписка з протоколу засновників або копія протоколу засновників та/або;</w:t>
            </w:r>
          </w:p>
          <w:p w:rsidR="006804DA" w:rsidRPr="00094D65" w:rsidRDefault="006804DA" w:rsidP="006804DA">
            <w:pPr>
              <w:ind w:firstLine="423"/>
              <w:jc w:val="both"/>
              <w:rPr>
                <w:color w:val="000000"/>
                <w:lang w:eastAsia="ru-RU"/>
              </w:rPr>
            </w:pPr>
            <w:r w:rsidRPr="00094D65">
              <w:rPr>
                <w:color w:val="000000"/>
                <w:lang w:eastAsia="ru-RU"/>
              </w:rPr>
              <w:t>- наказ про призначення та/або;</w:t>
            </w:r>
          </w:p>
          <w:p w:rsidR="006804DA" w:rsidRPr="00094D65" w:rsidRDefault="006804DA" w:rsidP="006804DA">
            <w:pPr>
              <w:ind w:firstLine="423"/>
              <w:jc w:val="both"/>
              <w:rPr>
                <w:color w:val="000000"/>
                <w:lang w:eastAsia="ru-RU"/>
              </w:rPr>
            </w:pPr>
            <w:r w:rsidRPr="00094D65">
              <w:rPr>
                <w:color w:val="000000"/>
                <w:lang w:eastAsia="ru-RU"/>
              </w:rPr>
              <w:t xml:space="preserve">- довіреність або доручення та/або; </w:t>
            </w:r>
          </w:p>
          <w:p w:rsidR="006804DA" w:rsidRPr="00094D65" w:rsidRDefault="006804DA" w:rsidP="006804DA">
            <w:pPr>
              <w:ind w:firstLine="423"/>
              <w:jc w:val="both"/>
              <w:rPr>
                <w:color w:val="000000"/>
                <w:lang w:eastAsia="ru-RU"/>
              </w:rPr>
            </w:pPr>
            <w:r w:rsidRPr="00094D65">
              <w:rPr>
                <w:color w:val="000000"/>
                <w:lang w:eastAsia="ru-RU"/>
              </w:rPr>
              <w:t>- інший документ, що підтверджує повноваження посадової особи учасника на підписання документів.</w:t>
            </w:r>
          </w:p>
          <w:p w:rsidR="006804DA" w:rsidRPr="00094D65" w:rsidRDefault="006804DA" w:rsidP="006804DA">
            <w:pPr>
              <w:ind w:firstLine="423"/>
              <w:jc w:val="both"/>
              <w:rPr>
                <w:color w:val="000000"/>
                <w:lang w:eastAsia="ru-RU"/>
              </w:rPr>
            </w:pPr>
            <w:r>
              <w:rPr>
                <w:color w:val="000000"/>
                <w:lang w:eastAsia="ru-RU"/>
              </w:rPr>
              <w:t>1.2</w:t>
            </w:r>
            <w:r w:rsidRPr="00094D65">
              <w:rPr>
                <w:color w:val="000000"/>
                <w:lang w:eastAsia="ru-RU"/>
              </w:rPr>
              <w:t xml:space="preserve">. Сканований оригінал або копія Статуту із змінами </w:t>
            </w:r>
            <w:r w:rsidRPr="00094D65">
              <w:rPr>
                <w:i/>
                <w:iCs/>
                <w:color w:val="000000"/>
                <w:lang w:eastAsia="ru-RU"/>
              </w:rPr>
              <w:t>(в разі їх наявності)</w:t>
            </w:r>
            <w:r w:rsidRPr="00094D65">
              <w:rPr>
                <w:color w:val="000000"/>
                <w:lang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804DA" w:rsidRPr="00094D65" w:rsidRDefault="006804DA" w:rsidP="006804DA">
            <w:pPr>
              <w:ind w:firstLine="423"/>
              <w:jc w:val="both"/>
              <w:rPr>
                <w:color w:val="000000"/>
                <w:lang w:eastAsia="ru-RU"/>
              </w:rPr>
            </w:pPr>
            <w:r w:rsidRPr="00094D65">
              <w:rPr>
                <w:b/>
                <w:bCs/>
                <w:color w:val="000000"/>
                <w:u w:val="single"/>
                <w:lang w:eastAsia="ru-RU"/>
              </w:rPr>
              <w:t>Для фізичних осіб-підприємців</w:t>
            </w:r>
            <w:r w:rsidRPr="00094D65">
              <w:rPr>
                <w:b/>
                <w:color w:val="000000"/>
                <w:u w:val="single"/>
                <w:lang w:eastAsia="ru-RU"/>
              </w:rPr>
              <w:t xml:space="preserve"> та фізичних осіб</w:t>
            </w:r>
            <w:r w:rsidRPr="00094D65">
              <w:rPr>
                <w:b/>
                <w:bCs/>
                <w:color w:val="000000"/>
                <w:u w:val="single"/>
                <w:lang w:eastAsia="ru-RU"/>
              </w:rPr>
              <w:t>:</w:t>
            </w:r>
          </w:p>
          <w:p w:rsidR="006804DA" w:rsidRPr="00094D65" w:rsidRDefault="006804DA" w:rsidP="006804DA">
            <w:pPr>
              <w:ind w:firstLine="423"/>
              <w:jc w:val="both"/>
              <w:rPr>
                <w:color w:val="000000"/>
                <w:lang w:eastAsia="ru-RU"/>
              </w:rPr>
            </w:pPr>
            <w:r w:rsidRPr="00094D65">
              <w:rPr>
                <w:color w:val="000000"/>
                <w:lang w:eastAsia="ru-RU"/>
              </w:rPr>
              <w:t>1.</w:t>
            </w:r>
            <w:r>
              <w:rPr>
                <w:color w:val="000000"/>
                <w:lang w:eastAsia="ru-RU"/>
              </w:rPr>
              <w:t>3</w:t>
            </w:r>
            <w:r w:rsidRPr="00094D65">
              <w:rPr>
                <w:color w:val="000000"/>
                <w:lang w:eastAsia="ru-RU"/>
              </w:rPr>
              <w:t xml:space="preserve">. Сканований оригінал або копія паспорту (всі сторінки), у випадку, якщо </w:t>
            </w:r>
            <w:r w:rsidRPr="00094D65">
              <w:rPr>
                <w:color w:val="000000"/>
                <w:lang w:eastAsia="ru-RU"/>
              </w:rPr>
              <w:lastRenderedPageBreak/>
              <w:t>такий паспорт оформлено у вигляді книжечки / або двостороній сканований оригінал або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w:t>
            </w:r>
            <w:r w:rsidR="00D57901">
              <w:rPr>
                <w:color w:val="000000"/>
                <w:lang w:eastAsia="ru-RU"/>
              </w:rPr>
              <w:t xml:space="preserve"> України «Про Єдиний державний </w:t>
            </w:r>
            <w:r w:rsidRPr="00094D65">
              <w:rPr>
                <w:color w:val="000000"/>
                <w:lang w:eastAsia="ru-RU"/>
              </w:rPr>
              <w:t>демографічний реєстр та документи, що підтверджують громадянство України, посвідчують особу чи її спеціальний статус» від 20.11.2012 № 5492</w:t>
            </w:r>
            <w:r w:rsidRPr="00094D65">
              <w:rPr>
                <w:color w:val="000000"/>
                <w:lang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094D65">
              <w:rPr>
                <w:b/>
                <w:bCs/>
                <w:color w:val="000000"/>
                <w:lang w:eastAsia="ru-RU"/>
              </w:rPr>
              <w:t xml:space="preserve"> </w:t>
            </w:r>
            <w:r w:rsidRPr="00094D65">
              <w:rPr>
                <w:bCs/>
                <w:color w:val="000000"/>
                <w:lang w:eastAsia="ru-RU"/>
              </w:rPr>
              <w:t>(для фізичних осіб-підприємців</w:t>
            </w:r>
            <w:r w:rsidRPr="00094D65">
              <w:rPr>
                <w:color w:val="000000"/>
                <w:lang w:eastAsia="ru-RU"/>
              </w:rPr>
              <w:t xml:space="preserve"> та фізичних осіб).</w:t>
            </w:r>
          </w:p>
          <w:p w:rsidR="006804DA" w:rsidRPr="00414B3B" w:rsidRDefault="006804DA" w:rsidP="00D57901">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7"/>
              <w:jc w:val="both"/>
              <w:rPr>
                <w:rStyle w:val="af4"/>
              </w:rPr>
            </w:pPr>
            <w:r w:rsidRPr="00094D65">
              <w:rPr>
                <w:color w:val="000000"/>
                <w:lang w:eastAsia="ru-RU"/>
              </w:rPr>
              <w:t>1.</w:t>
            </w:r>
            <w:r>
              <w:rPr>
                <w:color w:val="000000"/>
                <w:lang w:eastAsia="ru-RU"/>
              </w:rPr>
              <w:t>4</w:t>
            </w:r>
            <w:r w:rsidRPr="00094D65">
              <w:rPr>
                <w:color w:val="000000"/>
                <w:lang w:eastAsia="ru-RU"/>
              </w:rPr>
              <w:t>. Сканований оригінал або копія довідки про присвоєння ідентифікаційного коду або картка платника податку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F928B1" w:rsidRPr="00B30B57" w:rsidTr="00861603">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B1" w:rsidRPr="001636C9" w:rsidRDefault="00F928B1" w:rsidP="00861603">
            <w:pPr>
              <w:ind w:left="100"/>
              <w:rPr>
                <w:b/>
                <w:bCs/>
                <w:lang w:eastAsia="ru-RU"/>
              </w:rPr>
            </w:pPr>
            <w:r w:rsidRPr="001636C9">
              <w:rPr>
                <w:b/>
                <w:bCs/>
                <w:lang w:eastAsia="ru-RU"/>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928B1" w:rsidRPr="001636C9" w:rsidRDefault="00A23E4D" w:rsidP="00A23E4D">
            <w:pPr>
              <w:jc w:val="both"/>
              <w:rPr>
                <w:color w:val="000000"/>
              </w:rPr>
            </w:pPr>
            <w:r w:rsidRPr="001636C9">
              <w:rPr>
                <w:color w:val="000000"/>
              </w:rPr>
              <w:t>3.1.</w:t>
            </w:r>
            <w:r w:rsidR="00F928B1" w:rsidRPr="001636C9">
              <w:rPr>
                <w:color w:val="000000"/>
              </w:rPr>
              <w:t xml:space="preserve">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F928B1" w:rsidRPr="001636C9" w:rsidRDefault="00F928B1" w:rsidP="00A23E4D">
            <w:pPr>
              <w:jc w:val="both"/>
              <w:rPr>
                <w:color w:val="000000"/>
              </w:rPr>
            </w:pPr>
            <w:r w:rsidRPr="001636C9">
              <w:rPr>
                <w:color w:val="00000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F928B1" w:rsidRPr="001636C9" w:rsidRDefault="00F928B1" w:rsidP="00A23E4D">
            <w:pPr>
              <w:jc w:val="both"/>
              <w:rPr>
                <w:color w:val="000000"/>
              </w:rPr>
            </w:pPr>
            <w:r w:rsidRPr="001636C9">
              <w:rPr>
                <w:color w:val="000000"/>
              </w:rPr>
              <w:t xml:space="preserve">- копії документів бухгалтерської звітності, які визначають вартість чистих активів учасника за </w:t>
            </w:r>
            <w:r w:rsidR="005B1569" w:rsidRPr="001636C9">
              <w:t>2022</w:t>
            </w:r>
            <w:r w:rsidRPr="001636C9">
              <w:t xml:space="preserve"> рік </w:t>
            </w:r>
            <w:r w:rsidRPr="001636C9">
              <w:rPr>
                <w:color w:val="000000"/>
              </w:rPr>
              <w:t>(Баланс, звіт про фінансові результати тощо).</w:t>
            </w:r>
          </w:p>
          <w:p w:rsidR="00F928B1" w:rsidRPr="001636C9" w:rsidRDefault="00F928B1" w:rsidP="00A23E4D">
            <w:pPr>
              <w:jc w:val="both"/>
              <w:rPr>
                <w:color w:val="000000"/>
              </w:rPr>
            </w:pPr>
            <w:r w:rsidRPr="001636C9">
              <w:rPr>
                <w:color w:val="000000"/>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 укладання Договору за результатами закупівлі відсутні, а також копії документів бухгалтерської звітності, які визначають вартість чистих активів учасника станом за </w:t>
            </w:r>
            <w:r w:rsidRPr="001636C9">
              <w:t>202</w:t>
            </w:r>
            <w:r w:rsidR="005B1569" w:rsidRPr="001636C9">
              <w:t>2</w:t>
            </w:r>
            <w:r w:rsidRPr="001636C9">
              <w:t xml:space="preserve"> рік</w:t>
            </w:r>
            <w:r w:rsidRPr="001636C9">
              <w:rPr>
                <w:color w:val="FF0000"/>
              </w:rPr>
              <w:t xml:space="preserve"> </w:t>
            </w:r>
            <w:r w:rsidRPr="001636C9">
              <w:rPr>
                <w:color w:val="000000"/>
              </w:rPr>
              <w:t xml:space="preserve">(Баланс, звіт про фінансові результати тощо). </w:t>
            </w:r>
          </w:p>
          <w:p w:rsidR="00971B8F" w:rsidRPr="001636C9" w:rsidRDefault="00971B8F" w:rsidP="00971B8F">
            <w:pPr>
              <w:jc w:val="both"/>
              <w:rPr>
                <w:color w:val="000000"/>
              </w:rPr>
            </w:pPr>
            <w:r w:rsidRPr="001636C9">
              <w:rPr>
                <w:color w:val="000000"/>
              </w:rPr>
              <w:t xml:space="preserve">3.2.Фінансова звітність учасника повинна достовірно відображати його фінансовий стан та фінансові результати. На підтвердження вищезазначеного, учасник у складі пропозиції повинен надати позитивний висновок незалежного аудиту своєї фінансової звітності за 2022 рік.      </w:t>
            </w:r>
          </w:p>
          <w:p w:rsidR="00F928B1" w:rsidRPr="001636C9" w:rsidRDefault="00F928B1" w:rsidP="00861603">
            <w:pPr>
              <w:ind w:right="141"/>
              <w:jc w:val="both"/>
            </w:pPr>
            <w:r w:rsidRPr="001636C9">
              <w:rPr>
                <w:color w:val="000000"/>
              </w:rPr>
              <w:t>3.</w:t>
            </w:r>
            <w:r w:rsidR="00971B8F" w:rsidRPr="001636C9">
              <w:rPr>
                <w:color w:val="000000"/>
              </w:rPr>
              <w:t>3</w:t>
            </w:r>
            <w:r w:rsidRPr="001636C9">
              <w:rPr>
                <w:color w:val="000000"/>
              </w:rPr>
              <w:t xml:space="preserve">. </w:t>
            </w:r>
            <w:r w:rsidRPr="001636C9">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F928B1" w:rsidRPr="001636C9" w:rsidRDefault="00F928B1" w:rsidP="00861603">
            <w:pPr>
              <w:shd w:val="clear" w:color="auto" w:fill="FFFFFF"/>
              <w:ind w:left="720" w:right="142"/>
              <w:jc w:val="both"/>
            </w:pPr>
            <w:r w:rsidRPr="001636C9">
              <w:t>рішення про утворення об’єднання, статут та\або установчий договір та або засновницький договір,</w:t>
            </w:r>
          </w:p>
          <w:p w:rsidR="00F928B1" w:rsidRPr="001636C9" w:rsidRDefault="00F928B1" w:rsidP="00861603">
            <w:pPr>
              <w:shd w:val="clear" w:color="auto" w:fill="FFFFFF"/>
              <w:ind w:left="720" w:right="142"/>
              <w:jc w:val="both"/>
            </w:pPr>
            <w:r w:rsidRPr="001636C9">
              <w:t>копію рішення АМКУ про погодження установчих документів та статуту об’єднання учасників.</w:t>
            </w:r>
          </w:p>
          <w:p w:rsidR="00971B8F" w:rsidRPr="001636C9" w:rsidRDefault="00971B8F" w:rsidP="00971B8F">
            <w:pPr>
              <w:shd w:val="clear" w:color="auto" w:fill="FFFFFF"/>
              <w:ind w:right="142" w:firstLine="425"/>
              <w:jc w:val="both"/>
            </w:pPr>
            <w:r w:rsidRPr="001636C9">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971B8F" w:rsidRPr="001636C9" w:rsidRDefault="00971B8F" w:rsidP="00971B8F">
            <w:pPr>
              <w:numPr>
                <w:ilvl w:val="0"/>
                <w:numId w:val="21"/>
              </w:numPr>
              <w:shd w:val="clear" w:color="auto" w:fill="FFFFFF"/>
              <w:suppressAutoHyphens w:val="0"/>
              <w:spacing w:line="256" w:lineRule="auto"/>
              <w:ind w:left="596" w:right="142" w:firstLine="0"/>
              <w:jc w:val="both"/>
            </w:pPr>
            <w:r w:rsidRPr="001636C9">
              <w:t>договір про спільну діяльність;</w:t>
            </w:r>
          </w:p>
          <w:p w:rsidR="00971B8F" w:rsidRPr="001636C9" w:rsidRDefault="00971B8F" w:rsidP="00971B8F">
            <w:pPr>
              <w:numPr>
                <w:ilvl w:val="0"/>
                <w:numId w:val="21"/>
              </w:numPr>
              <w:shd w:val="clear" w:color="auto" w:fill="FFFFFF"/>
              <w:suppressAutoHyphens w:val="0"/>
              <w:spacing w:line="256" w:lineRule="auto"/>
              <w:ind w:left="596" w:right="142" w:firstLine="0"/>
              <w:jc w:val="both"/>
            </w:pPr>
            <w:r w:rsidRPr="001636C9">
              <w:t>рішення засновників об’єднання, оформлене відповідно до законодавства іноземної держави;</w:t>
            </w:r>
          </w:p>
          <w:p w:rsidR="00971B8F" w:rsidRPr="001636C9" w:rsidRDefault="00971B8F" w:rsidP="00971B8F">
            <w:pPr>
              <w:numPr>
                <w:ilvl w:val="0"/>
                <w:numId w:val="21"/>
              </w:numPr>
              <w:shd w:val="clear" w:color="auto" w:fill="FFFFFF"/>
              <w:suppressAutoHyphens w:val="0"/>
              <w:spacing w:line="256" w:lineRule="auto"/>
              <w:ind w:left="596" w:right="142" w:firstLine="0"/>
              <w:jc w:val="both"/>
            </w:pPr>
            <w:r w:rsidRPr="001636C9">
              <w:t>виписка з торговельного (банківського) реєстру країни, де іноземний суб’єкт господарської діяльності має офіційно зареєстровану контору;</w:t>
            </w:r>
          </w:p>
          <w:p w:rsidR="00971B8F" w:rsidRPr="001636C9" w:rsidRDefault="00971B8F" w:rsidP="00971B8F">
            <w:pPr>
              <w:numPr>
                <w:ilvl w:val="0"/>
                <w:numId w:val="21"/>
              </w:numPr>
              <w:shd w:val="clear" w:color="auto" w:fill="FFFFFF"/>
              <w:suppressAutoHyphens w:val="0"/>
              <w:spacing w:line="256" w:lineRule="auto"/>
              <w:ind w:left="596" w:right="142" w:firstLine="0"/>
              <w:jc w:val="both"/>
            </w:pPr>
            <w:r w:rsidRPr="001636C9">
              <w:t>довідка від банківської установи, в якій офіційно відкрито рахунок подавця.</w:t>
            </w:r>
          </w:p>
          <w:p w:rsidR="00971B8F" w:rsidRPr="001636C9" w:rsidRDefault="00971B8F" w:rsidP="00971B8F">
            <w:pPr>
              <w:shd w:val="clear" w:color="auto" w:fill="FFFFFF"/>
              <w:ind w:right="142" w:firstLine="433"/>
              <w:jc w:val="both"/>
            </w:pPr>
            <w:r w:rsidRPr="001636C9">
              <w:t xml:space="preserve">Відокремлений підрозділ іноземної компанії, організації (представництва) подає документ про акредитацію (реєстрацію, легалізацію) такого підрозділу на </w:t>
            </w:r>
            <w:r w:rsidRPr="001636C9">
              <w:lastRenderedPageBreak/>
              <w:t>території України, а саме:</w:t>
            </w:r>
          </w:p>
          <w:p w:rsidR="00971B8F" w:rsidRPr="001636C9" w:rsidRDefault="00971B8F" w:rsidP="00971B8F">
            <w:pPr>
              <w:numPr>
                <w:ilvl w:val="0"/>
                <w:numId w:val="21"/>
              </w:numPr>
              <w:shd w:val="clear" w:color="auto" w:fill="FFFFFF"/>
              <w:suppressAutoHyphens w:val="0"/>
              <w:spacing w:line="256" w:lineRule="auto"/>
              <w:ind w:left="596" w:right="142" w:firstLine="0"/>
              <w:jc w:val="both"/>
            </w:pPr>
            <w:r w:rsidRPr="001636C9">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1636C9">
                <w:rPr>
                  <w:rStyle w:val="a4"/>
                  <w:color w:val="329A32"/>
                </w:rPr>
                <w:t>«Про зовнішньоекономічну діяльність»</w:t>
              </w:r>
            </w:hyperlink>
            <w:r w:rsidRPr="001636C9">
              <w:rPr>
                <w:rStyle w:val="a4"/>
                <w:color w:val="329A32"/>
              </w:rPr>
              <w:t xml:space="preserve"> </w:t>
            </w:r>
            <w:r w:rsidRPr="001636C9">
              <w:t>від 16.04.1991 № 959-XII;</w:t>
            </w:r>
          </w:p>
          <w:p w:rsidR="00971B8F" w:rsidRPr="001636C9" w:rsidRDefault="00971B8F" w:rsidP="00971B8F">
            <w:pPr>
              <w:numPr>
                <w:ilvl w:val="0"/>
                <w:numId w:val="21"/>
              </w:numPr>
              <w:shd w:val="clear" w:color="auto" w:fill="FFFFFF"/>
              <w:suppressAutoHyphens w:val="0"/>
              <w:spacing w:line="256" w:lineRule="auto"/>
              <w:ind w:left="596" w:right="142" w:firstLine="0"/>
              <w:jc w:val="both"/>
            </w:pPr>
            <w:r w:rsidRPr="001636C9">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F928B1" w:rsidRPr="001636C9" w:rsidRDefault="00F928B1" w:rsidP="00861603">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3"/>
              <w:jc w:val="both"/>
              <w:rPr>
                <w:lang w:eastAsia="uk-UA"/>
              </w:rPr>
            </w:pPr>
            <w:r w:rsidRPr="001636C9">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tc>
      </w:tr>
      <w:tr w:rsidR="00812E02" w:rsidRPr="00B30B57" w:rsidTr="005E2001">
        <w:trPr>
          <w:trHeight w:val="109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E02" w:rsidRDefault="005E2001" w:rsidP="00861603">
            <w:pPr>
              <w:ind w:left="100"/>
              <w:rPr>
                <w:b/>
                <w:bCs/>
                <w:color w:val="000000"/>
                <w:lang w:eastAsia="ru-RU"/>
              </w:rPr>
            </w:pPr>
            <w:r>
              <w:rPr>
                <w:b/>
                <w:bCs/>
                <w:color w:val="000000"/>
                <w:lang w:eastAsia="ru-RU"/>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2E02" w:rsidRPr="00414B3B" w:rsidRDefault="00812E02" w:rsidP="00812E02">
            <w:pPr>
              <w:pStyle w:val="a5"/>
              <w:tabs>
                <w:tab w:val="left" w:pos="426"/>
              </w:tabs>
              <w:spacing w:line="240" w:lineRule="auto"/>
              <w:ind w:left="142"/>
              <w:jc w:val="both"/>
              <w:rPr>
                <w:rFonts w:ascii="Times New Roman" w:eastAsia="Times New Roman" w:hAnsi="Times New Roman" w:cs="Times New Roman"/>
                <w:sz w:val="24"/>
                <w:szCs w:val="24"/>
                <w:lang w:val="uk-UA"/>
              </w:rPr>
            </w:pPr>
            <w:r w:rsidRPr="00A23E4D">
              <w:rPr>
                <w:rFonts w:ascii="Times New Roman" w:eastAsia="Times New Roman" w:hAnsi="Times New Roman" w:cs="Times New Roman"/>
                <w:sz w:val="24"/>
                <w:szCs w:val="24"/>
                <w:lang w:val="uk-UA"/>
              </w:rPr>
              <w:t>Сканований оригінал або копія виписки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12E02" w:rsidRPr="00B30B57" w:rsidTr="005E2001">
        <w:trPr>
          <w:trHeight w:val="188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E02" w:rsidRDefault="005E2001" w:rsidP="00861603">
            <w:pPr>
              <w:ind w:left="100"/>
              <w:rPr>
                <w:b/>
                <w:bCs/>
                <w:color w:val="000000"/>
                <w:lang w:eastAsia="ru-RU"/>
              </w:rPr>
            </w:pPr>
            <w:r>
              <w:rPr>
                <w:b/>
                <w:bCs/>
                <w:color w:val="000000"/>
                <w:lang w:eastAsia="ru-RU"/>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2E02" w:rsidRPr="00A23E4D" w:rsidRDefault="00812E02" w:rsidP="00812E02">
            <w:pPr>
              <w:pStyle w:val="a5"/>
              <w:tabs>
                <w:tab w:val="left" w:pos="426"/>
              </w:tabs>
              <w:spacing w:line="240" w:lineRule="auto"/>
              <w:ind w:left="142"/>
              <w:jc w:val="both"/>
              <w:rPr>
                <w:rFonts w:ascii="Times New Roman" w:eastAsia="Times New Roman" w:hAnsi="Times New Roman" w:cs="Times New Roman"/>
                <w:sz w:val="24"/>
                <w:szCs w:val="24"/>
                <w:lang w:val="uk-UA"/>
              </w:rPr>
            </w:pPr>
            <w:r w:rsidRPr="005E3C87">
              <w:rPr>
                <w:rFonts w:ascii="Times New Roman" w:eastAsia="Calibri" w:hAnsi="Times New Roman" w:cs="Times New Roman"/>
                <w:b/>
                <w:bCs/>
                <w:sz w:val="24"/>
                <w:szCs w:val="24"/>
                <w:lang w:val="uk-UA" w:eastAsia="uk-UA"/>
              </w:rPr>
              <w:t xml:space="preserve">Довідка в довільній формі, в якій зазначити інформацію про те, чи створено  учасником </w:t>
            </w:r>
            <w:r w:rsidRPr="005E3C87">
              <w:rPr>
                <w:rFonts w:ascii="Times New Roman" w:eastAsia="Times New Roman" w:hAnsi="Times New Roman" w:cs="Times New Roman"/>
                <w:sz w:val="24"/>
                <w:szCs w:val="24"/>
                <w:lang w:val="uk-UA"/>
              </w:rPr>
              <w:t>Центр обслуговування споживачів (клієнтів) відповідно до вимог «Правил роздрібного ринку електричної енергії, затверджених Постановою НКРЕКП від</w:t>
            </w:r>
            <w:r w:rsidR="008069D1">
              <w:rPr>
                <w:rFonts w:ascii="Times New Roman" w:eastAsia="Times New Roman" w:hAnsi="Times New Roman" w:cs="Times New Roman"/>
                <w:sz w:val="24"/>
                <w:szCs w:val="24"/>
                <w:lang w:val="uk-UA"/>
              </w:rPr>
              <w:t xml:space="preserve"> </w:t>
            </w:r>
            <w:r w:rsidRPr="005E3C87">
              <w:rPr>
                <w:rFonts w:ascii="Times New Roman" w:eastAsia="Times New Roman" w:hAnsi="Times New Roman" w:cs="Times New Roman"/>
                <w:sz w:val="24"/>
                <w:szCs w:val="24"/>
                <w:lang w:val="uk-UA"/>
              </w:rPr>
              <w:t xml:space="preserve">14.03.2018 № 312 та кол-центр, який відповідає </w:t>
            </w:r>
            <w:r w:rsidRPr="005E3C87">
              <w:rPr>
                <w:rFonts w:ascii="Times New Roman" w:eastAsia="Times New Roman" w:hAnsi="Times New Roman" w:cs="Times New Roman"/>
                <w:sz w:val="24"/>
                <w:szCs w:val="24"/>
                <w:lang w:val="uk-UA" w:eastAsia="uk-UA"/>
              </w:rPr>
              <w:t>вимогам, встановленими Постановою НКРЕКП «Про затвердження Мінімальних вимог до якості обслуговування споживачів ел</w:t>
            </w:r>
            <w:r w:rsidR="008069D1">
              <w:rPr>
                <w:rFonts w:ascii="Times New Roman" w:eastAsia="Times New Roman" w:hAnsi="Times New Roman" w:cs="Times New Roman"/>
                <w:sz w:val="24"/>
                <w:szCs w:val="24"/>
                <w:lang w:val="uk-UA" w:eastAsia="uk-UA"/>
              </w:rPr>
              <w:t>ектричної енергії кол-центрами»</w:t>
            </w:r>
            <w:r w:rsidRPr="005E3C87">
              <w:rPr>
                <w:rFonts w:ascii="Times New Roman" w:eastAsia="Times New Roman" w:hAnsi="Times New Roman" w:cs="Times New Roman"/>
                <w:sz w:val="24"/>
                <w:szCs w:val="24"/>
                <w:lang w:val="uk-UA" w:eastAsia="uk-UA"/>
              </w:rPr>
              <w:t xml:space="preserve"> № 373 від 12.06.2018 р (зі змінами).</w:t>
            </w:r>
          </w:p>
        </w:tc>
      </w:tr>
      <w:tr w:rsidR="00AF6E43" w:rsidRPr="00B30B57" w:rsidTr="00AF6E43">
        <w:trPr>
          <w:trHeight w:val="215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E43" w:rsidRDefault="00AF6E43" w:rsidP="00861603">
            <w:pPr>
              <w:ind w:left="100"/>
              <w:rPr>
                <w:b/>
                <w:bCs/>
                <w:color w:val="000000"/>
                <w:lang w:eastAsia="ru-RU"/>
              </w:rPr>
            </w:pPr>
            <w:r>
              <w:rPr>
                <w:b/>
                <w:bCs/>
                <w:color w:val="000000"/>
                <w:lang w:eastAsia="ru-RU"/>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E43" w:rsidRPr="00414B3B" w:rsidRDefault="00AF6E43" w:rsidP="00AF6E43">
            <w:pPr>
              <w:pStyle w:val="a5"/>
              <w:tabs>
                <w:tab w:val="left" w:pos="426"/>
              </w:tabs>
              <w:spacing w:line="240" w:lineRule="auto"/>
              <w:ind w:left="142"/>
              <w:jc w:val="both"/>
              <w:rPr>
                <w:rFonts w:ascii="Times New Roman" w:eastAsia="Times New Roman" w:hAnsi="Times New Roman" w:cs="Times New Roman"/>
                <w:sz w:val="24"/>
                <w:szCs w:val="24"/>
                <w:lang w:val="uk-UA"/>
              </w:rPr>
            </w:pPr>
            <w:r w:rsidRPr="00522DB0">
              <w:rPr>
                <w:rFonts w:ascii="Times New Roman" w:eastAsia="Calibri" w:hAnsi="Times New Roman" w:cs="Times New Roman"/>
                <w:b/>
                <w:bCs/>
                <w:sz w:val="24"/>
                <w:szCs w:val="24"/>
                <w:lang w:eastAsia="uk-UA"/>
              </w:rPr>
              <w:t>Учасник повинен надати гарантійний лист про те, що він не знаходиться у статусі «дефолтного» або «переддефолтного»</w:t>
            </w:r>
            <w:r w:rsidRPr="00522DB0">
              <w:rPr>
                <w:rFonts w:ascii="Times New Roman" w:eastAsia="Calibri" w:hAnsi="Times New Roman" w:cs="Times New Roman"/>
                <w:bCs/>
                <w:sz w:val="24"/>
                <w:szCs w:val="24"/>
                <w:lang w:eastAsia="uk-UA"/>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w:t>
            </w:r>
            <w:r w:rsidR="008069D1">
              <w:rPr>
                <w:rFonts w:ascii="Times New Roman" w:eastAsia="Calibri" w:hAnsi="Times New Roman" w:cs="Times New Roman"/>
                <w:bCs/>
                <w:sz w:val="24"/>
                <w:szCs w:val="24"/>
                <w:lang w:eastAsia="uk-UA"/>
              </w:rPr>
              <w:t xml:space="preserve">о «Правил ринку», затверджених </w:t>
            </w:r>
            <w:r w:rsidRPr="00522DB0">
              <w:rPr>
                <w:rFonts w:ascii="Times New Roman" w:eastAsia="Calibri" w:hAnsi="Times New Roman" w:cs="Times New Roman"/>
                <w:bCs/>
                <w:sz w:val="24"/>
                <w:szCs w:val="24"/>
                <w:lang w:eastAsia="uk-UA"/>
              </w:rPr>
              <w:t xml:space="preserve">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tc>
      </w:tr>
      <w:tr w:rsidR="008069D1" w:rsidRPr="00B30B57" w:rsidTr="008069D1">
        <w:trPr>
          <w:trHeight w:val="165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9D1" w:rsidRDefault="008069D1" w:rsidP="00861603">
            <w:pPr>
              <w:ind w:left="100"/>
              <w:rPr>
                <w:b/>
                <w:bCs/>
                <w:color w:val="000000"/>
                <w:lang w:eastAsia="ru-RU"/>
              </w:rPr>
            </w:pPr>
            <w:r>
              <w:rPr>
                <w:b/>
                <w:bCs/>
                <w:color w:val="000000"/>
                <w:lang w:eastAsia="ru-RU"/>
              </w:rPr>
              <w:t>7</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069D1" w:rsidRPr="008069D1" w:rsidRDefault="008069D1" w:rsidP="008069D1">
            <w:pPr>
              <w:jc w:val="both"/>
              <w:rPr>
                <w:color w:val="000000"/>
                <w:lang w:eastAsia="ru-RU"/>
              </w:rPr>
            </w:pPr>
            <w:r w:rsidRPr="008069D1">
              <w:rPr>
                <w:b/>
                <w:color w:val="000000"/>
                <w:lang w:eastAsia="ru-RU"/>
              </w:rPr>
              <w:t>Учасник у складі пропозиції надає довідку в довільній формі з інформацією про наявність власного офіційного веб-сайту в мережі Інтернет</w:t>
            </w:r>
            <w:r>
              <w:rPr>
                <w:color w:val="000000"/>
                <w:lang w:eastAsia="ru-RU"/>
              </w:rPr>
              <w:t xml:space="preserve"> (н</w:t>
            </w:r>
            <w:r w:rsidRPr="00161AAB">
              <w:rPr>
                <w:color w:val="000000"/>
                <w:lang w:eastAsia="ru-RU"/>
              </w:rPr>
              <w:t xml:space="preserve">а підтвердження наявності web-сайту </w:t>
            </w:r>
            <w:r>
              <w:rPr>
                <w:color w:val="000000"/>
                <w:lang w:eastAsia="ru-RU"/>
              </w:rPr>
              <w:t xml:space="preserve">Учасника та його відповідності </w:t>
            </w:r>
            <w:r w:rsidRPr="00161AAB">
              <w:rPr>
                <w:color w:val="000000"/>
                <w:lang w:eastAsia="ru-RU"/>
              </w:rPr>
              <w:t>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color w:val="000000"/>
                <w:lang w:eastAsia="ru-RU"/>
              </w:rPr>
              <w:t xml:space="preserve">). </w:t>
            </w:r>
          </w:p>
        </w:tc>
      </w:tr>
      <w:tr w:rsidR="00AF6E43" w:rsidRPr="00B30B57" w:rsidTr="00AF6E43">
        <w:trPr>
          <w:trHeight w:val="57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E43" w:rsidRDefault="008069D1" w:rsidP="00AF6E43">
            <w:pPr>
              <w:ind w:left="100"/>
              <w:rPr>
                <w:b/>
                <w:bCs/>
                <w:color w:val="000000"/>
                <w:lang w:eastAsia="ru-RU"/>
              </w:rPr>
            </w:pPr>
            <w:r>
              <w:rPr>
                <w:b/>
                <w:bCs/>
                <w:color w:val="000000"/>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E43" w:rsidRPr="001D37B4" w:rsidRDefault="00AF6E43" w:rsidP="00AF6E43">
            <w:pPr>
              <w:widowControl w:val="0"/>
              <w:autoSpaceDE w:val="0"/>
              <w:autoSpaceDN w:val="0"/>
              <w:adjustRightInd w:val="0"/>
              <w:jc w:val="both"/>
              <w:rPr>
                <w:rFonts w:eastAsia="Calibri"/>
                <w:b/>
                <w:bCs/>
                <w:lang w:eastAsia="uk-UA"/>
              </w:rPr>
            </w:pPr>
            <w:r>
              <w:rPr>
                <w:rFonts w:eastAsia="Calibri"/>
                <w:b/>
                <w:bCs/>
                <w:lang w:eastAsia="uk-UA"/>
              </w:rPr>
              <w:t xml:space="preserve">Заповнена учасником тендерна пропозиція </w:t>
            </w:r>
            <w:r w:rsidRPr="00AF6E43">
              <w:rPr>
                <w:rFonts w:eastAsia="Calibri"/>
                <w:bCs/>
                <w:lang w:eastAsia="uk-UA"/>
              </w:rPr>
              <w:t>(Додаток 1 до тендерної документації)</w:t>
            </w:r>
          </w:p>
        </w:tc>
      </w:tr>
      <w:tr w:rsidR="00AF6E43" w:rsidRPr="00B30B57" w:rsidTr="00AF6E43">
        <w:trPr>
          <w:trHeight w:val="57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E43" w:rsidRDefault="008069D1" w:rsidP="00AF6E43">
            <w:pPr>
              <w:ind w:left="100"/>
              <w:rPr>
                <w:b/>
                <w:bCs/>
                <w:color w:val="000000"/>
                <w:lang w:eastAsia="ru-RU"/>
              </w:rPr>
            </w:pPr>
            <w:r>
              <w:rPr>
                <w:b/>
                <w:bCs/>
                <w:color w:val="000000"/>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E43" w:rsidRDefault="00AF6E43" w:rsidP="00AF6E43">
            <w:pPr>
              <w:widowControl w:val="0"/>
              <w:autoSpaceDE w:val="0"/>
              <w:autoSpaceDN w:val="0"/>
              <w:adjustRightInd w:val="0"/>
              <w:jc w:val="both"/>
              <w:rPr>
                <w:b/>
                <w:color w:val="000000"/>
                <w:lang w:eastAsia="ru-RU"/>
              </w:rPr>
            </w:pPr>
            <w:r w:rsidRPr="00522DB0">
              <w:rPr>
                <w:b/>
                <w:color w:val="000000"/>
                <w:lang w:eastAsia="ru-RU"/>
              </w:rPr>
              <w:t>Погодження з проектом договору про закупівлю</w:t>
            </w:r>
          </w:p>
          <w:p w:rsidR="00AF6E43" w:rsidRPr="00522DB0" w:rsidRDefault="00AF6E43" w:rsidP="00AF6E43">
            <w:pPr>
              <w:widowControl w:val="0"/>
              <w:autoSpaceDE w:val="0"/>
              <w:autoSpaceDN w:val="0"/>
              <w:adjustRightInd w:val="0"/>
              <w:jc w:val="both"/>
              <w:rPr>
                <w:rFonts w:eastAsia="Calibri"/>
                <w:bCs/>
                <w:lang w:eastAsia="uk-UA"/>
              </w:rPr>
            </w:pPr>
            <w:r w:rsidRPr="00522DB0">
              <w:rPr>
                <w:rFonts w:eastAsia="Calibri"/>
                <w:bCs/>
                <w:lang w:eastAsia="uk-UA"/>
              </w:rPr>
              <w:t>6.1. Проект</w:t>
            </w:r>
            <w:r>
              <w:rPr>
                <w:rFonts w:eastAsia="Calibri"/>
                <w:bCs/>
                <w:lang w:eastAsia="uk-UA"/>
              </w:rPr>
              <w:t xml:space="preserve"> договору наведений у Додатку №2</w:t>
            </w:r>
            <w:r w:rsidRPr="00522DB0">
              <w:rPr>
                <w:rFonts w:eastAsia="Calibri"/>
                <w:bCs/>
                <w:lang w:eastAsia="uk-UA"/>
              </w:rPr>
              <w:t xml:space="preserve"> до даної документації, подається підписаний уповноваженою особою учасника та завірений печаткою</w:t>
            </w:r>
            <w:r>
              <w:rPr>
                <w:rFonts w:eastAsia="Calibri"/>
                <w:bCs/>
                <w:lang w:eastAsia="uk-UA"/>
              </w:rPr>
              <w:t xml:space="preserve"> (усі сторінки, </w:t>
            </w:r>
            <w:r w:rsidRPr="00522DB0">
              <w:rPr>
                <w:rFonts w:eastAsia="Calibri"/>
                <w:bCs/>
                <w:lang w:eastAsia="uk-UA"/>
              </w:rPr>
              <w:t xml:space="preserve">печаткою завіряється у випадку її наявності (сканований оригінал). </w:t>
            </w:r>
          </w:p>
          <w:p w:rsidR="00AF6E43" w:rsidRDefault="00AF6E43" w:rsidP="00AF6E43">
            <w:pPr>
              <w:widowControl w:val="0"/>
              <w:autoSpaceDE w:val="0"/>
              <w:autoSpaceDN w:val="0"/>
              <w:adjustRightInd w:val="0"/>
              <w:jc w:val="both"/>
              <w:rPr>
                <w:rFonts w:eastAsia="Calibri"/>
                <w:b/>
                <w:bCs/>
                <w:lang w:eastAsia="uk-UA"/>
              </w:rPr>
            </w:pPr>
            <w:r w:rsidRPr="00522DB0">
              <w:rPr>
                <w:rFonts w:eastAsia="Calibri"/>
                <w:bCs/>
                <w:lang w:eastAsia="uk-UA"/>
              </w:rPr>
              <w:t>6.2. Гарантійний лист від імені учасника про те, що:  зміна істотних умов договору буде відбуватися тільки з підстав, передба</w:t>
            </w:r>
            <w:bookmarkStart w:id="0" w:name="_GoBack"/>
            <w:bookmarkEnd w:id="0"/>
            <w:r w:rsidRPr="00522DB0">
              <w:rPr>
                <w:rFonts w:eastAsia="Calibri"/>
                <w:bCs/>
                <w:lang w:eastAsia="uk-UA"/>
              </w:rPr>
              <w:t xml:space="preserve">чених ст. 41 ЗУ «Про публічні закупівлі» </w:t>
            </w:r>
            <w:r w:rsidRPr="00522DB0">
              <w:rPr>
                <w:rFonts w:eastAsia="Calibri"/>
                <w:bCs/>
                <w:lang w:eastAsia="uk-UA"/>
              </w:rPr>
              <w:lastRenderedPageBreak/>
              <w:t>з ураху</w:t>
            </w:r>
            <w:r>
              <w:rPr>
                <w:rFonts w:eastAsia="Calibri"/>
                <w:bCs/>
                <w:lang w:eastAsia="uk-UA"/>
              </w:rPr>
              <w:t>ванням п.19 Особливостей та Прое</w:t>
            </w:r>
            <w:r w:rsidRPr="00522DB0">
              <w:rPr>
                <w:rFonts w:eastAsia="Calibri"/>
                <w:bCs/>
                <w:lang w:eastAsia="uk-UA"/>
              </w:rPr>
              <w:t>к</w:t>
            </w:r>
            <w:r>
              <w:rPr>
                <w:rFonts w:eastAsia="Calibri"/>
                <w:bCs/>
                <w:lang w:eastAsia="uk-UA"/>
              </w:rPr>
              <w:t>ту договору, та за наявності обг</w:t>
            </w:r>
            <w:r w:rsidRPr="00522DB0">
              <w:rPr>
                <w:rFonts w:eastAsia="Calibri"/>
                <w:bCs/>
                <w:lang w:eastAsia="uk-UA"/>
              </w:rPr>
              <w:t>рунтованих підстав.</w:t>
            </w:r>
          </w:p>
        </w:tc>
      </w:tr>
      <w:tr w:rsidR="00004635" w:rsidRPr="00B30B57" w:rsidTr="00AF6E43">
        <w:trPr>
          <w:trHeight w:val="57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635" w:rsidRPr="00004635" w:rsidRDefault="00004635" w:rsidP="00AF6E43">
            <w:pPr>
              <w:ind w:left="100"/>
              <w:rPr>
                <w:b/>
                <w:bCs/>
                <w:color w:val="000000"/>
                <w:lang w:eastAsia="ru-RU"/>
              </w:rPr>
            </w:pPr>
            <w:r w:rsidRPr="00004635">
              <w:rPr>
                <w:b/>
                <w:bCs/>
                <w:color w:val="000000"/>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04635" w:rsidRPr="00004635" w:rsidRDefault="00004635" w:rsidP="009A4B2C">
            <w:pPr>
              <w:widowControl w:val="0"/>
              <w:autoSpaceDE w:val="0"/>
              <w:autoSpaceDN w:val="0"/>
              <w:adjustRightInd w:val="0"/>
              <w:jc w:val="both"/>
              <w:rPr>
                <w:b/>
                <w:color w:val="000000"/>
                <w:lang w:eastAsia="ru-RU"/>
              </w:rPr>
            </w:pPr>
            <w:r w:rsidRPr="00004635">
              <w:rPr>
                <w:b/>
                <w:color w:val="000000"/>
              </w:rPr>
              <w:t>У вигляді довідки довільної форми надати згоду з умовами та вимогами</w:t>
            </w:r>
            <w:r w:rsidRPr="00004635">
              <w:rPr>
                <w:color w:val="000000"/>
              </w:rPr>
              <w:t>, які визначені у Додатку №3 до Тендерної документації, (Інформація про необхідні технічні, якісні та кількісні характеристики предмета закупівлі - технічні вимоги до предмета закупівлі), та гарантувати їх виконання.</w:t>
            </w:r>
          </w:p>
        </w:tc>
      </w:tr>
      <w:tr w:rsidR="00AF6E43" w:rsidRPr="00B30B57" w:rsidTr="00AF6E43">
        <w:trPr>
          <w:trHeight w:val="57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E43" w:rsidRDefault="00004635" w:rsidP="00AF6E43">
            <w:pPr>
              <w:ind w:left="100"/>
              <w:rPr>
                <w:b/>
                <w:bCs/>
                <w:color w:val="000000"/>
                <w:lang w:eastAsia="ru-RU"/>
              </w:rPr>
            </w:pPr>
            <w:r>
              <w:rPr>
                <w:b/>
                <w:bCs/>
                <w:color w:val="000000"/>
                <w:lang w:eastAsia="ru-RU"/>
              </w:rPr>
              <w:t>11</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E43" w:rsidRPr="00522DB0" w:rsidRDefault="00AF6E43" w:rsidP="009A4B2C">
            <w:pPr>
              <w:widowControl w:val="0"/>
              <w:autoSpaceDE w:val="0"/>
              <w:autoSpaceDN w:val="0"/>
              <w:adjustRightInd w:val="0"/>
              <w:jc w:val="both"/>
              <w:rPr>
                <w:b/>
                <w:color w:val="000000"/>
                <w:lang w:eastAsia="ru-RU"/>
              </w:rPr>
            </w:pPr>
            <w:r>
              <w:rPr>
                <w:b/>
                <w:color w:val="000000"/>
                <w:lang w:eastAsia="ru-RU"/>
              </w:rPr>
              <w:t>Підписаний лист-згод</w:t>
            </w:r>
            <w:r w:rsidR="009A4B2C">
              <w:rPr>
                <w:b/>
                <w:color w:val="000000"/>
                <w:lang w:eastAsia="ru-RU"/>
              </w:rPr>
              <w:t>а</w:t>
            </w:r>
            <w:r>
              <w:rPr>
                <w:b/>
                <w:color w:val="000000"/>
                <w:lang w:eastAsia="ru-RU"/>
              </w:rPr>
              <w:t xml:space="preserve"> </w:t>
            </w:r>
            <w:r w:rsidR="00EF7F20">
              <w:rPr>
                <w:b/>
                <w:color w:val="000000"/>
                <w:lang w:eastAsia="ru-RU"/>
              </w:rPr>
              <w:t xml:space="preserve">на обробку персональних даних </w:t>
            </w:r>
            <w:r w:rsidR="00EF7F20" w:rsidRPr="00EF7F20">
              <w:rPr>
                <w:color w:val="000000"/>
                <w:lang w:eastAsia="ru-RU"/>
              </w:rPr>
              <w:t>(Додаток 4 до тендерної документації)</w:t>
            </w:r>
          </w:p>
        </w:tc>
      </w:tr>
      <w:tr w:rsidR="00AF6E43" w:rsidRPr="00B30B57" w:rsidTr="00B40E92">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E43" w:rsidRDefault="009A4B2C" w:rsidP="008069D1">
            <w:pPr>
              <w:ind w:left="100"/>
              <w:rPr>
                <w:b/>
                <w:bCs/>
                <w:color w:val="000000"/>
                <w:lang w:eastAsia="ru-RU"/>
              </w:rPr>
            </w:pPr>
            <w:r>
              <w:rPr>
                <w:b/>
                <w:bCs/>
                <w:color w:val="000000"/>
                <w:lang w:eastAsia="ru-RU"/>
              </w:rPr>
              <w:t>1</w:t>
            </w:r>
            <w:r w:rsidR="00004635">
              <w:rPr>
                <w:b/>
                <w:bCs/>
                <w:color w:val="000000"/>
                <w:lang w:eastAsia="ru-RU"/>
              </w:rPr>
              <w:t>2</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E43" w:rsidRPr="00414B3B" w:rsidRDefault="00AF6E43" w:rsidP="00B40E92">
            <w:pPr>
              <w:pStyle w:val="a5"/>
              <w:tabs>
                <w:tab w:val="left" w:pos="426"/>
              </w:tabs>
              <w:spacing w:line="240" w:lineRule="auto"/>
              <w:ind w:left="142"/>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 xml:space="preserve">Інформаційна довідка про учасника процедури закупівлі із зазначенням наступної інформації: </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Повна назва учасника;</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Код ЄДРПОУ;</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Юридична та поштова адреса;</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Банківські реквізити обслуговуючого банку;</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Статус платника податку та індивідуальний податковий номер;</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Контактний номер телефону, Е-mail;</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Відомості про керівника (посада, ПІБ, тел.);</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Відомості про підписанта договору (посада, ПІБ, тел.);</w:t>
            </w:r>
          </w:p>
          <w:p w:rsidR="00AF6E43" w:rsidRPr="00414B3B" w:rsidRDefault="00AF6E43" w:rsidP="00B40E92">
            <w:pPr>
              <w:pStyle w:val="a5"/>
              <w:numPr>
                <w:ilvl w:val="0"/>
                <w:numId w:val="22"/>
              </w:numPr>
              <w:tabs>
                <w:tab w:val="left" w:pos="426"/>
              </w:tabs>
              <w:spacing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Відомості про підписанта документів тендерної пропозиції (посада, ПІБ, тел.).</w:t>
            </w:r>
          </w:p>
        </w:tc>
      </w:tr>
      <w:tr w:rsidR="00864B25" w:rsidRPr="00B30B57" w:rsidTr="001B516A">
        <w:trPr>
          <w:trHeight w:val="2857"/>
        </w:trPr>
        <w:tc>
          <w:tcPr>
            <w:tcW w:w="9619"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 військовий квиток, виданий іноземцю, який в установленому порядку уклав контракт про</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проходження військової служби у Збройних Силах України, Державній спеціальній службі</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транспорту або Національній гвардії України,</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або</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 посвідчення біженця чи документ, що підтверджує надання притулку в Україні,</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або</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 посвідчення особи, яка потребує додаткового захисту в Україні,</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або</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 посвідчення особи, якій надано тимчасовий захист в Україні,</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або</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 витяг із реєстру територіальної громади, що підтверджує зареєстроване або задеклароване</w:t>
            </w:r>
          </w:p>
          <w:p w:rsidR="00864B25" w:rsidRPr="00864B25" w:rsidRDefault="00864B25" w:rsidP="00864B25">
            <w:pPr>
              <w:shd w:val="clear" w:color="auto" w:fill="FFFFFF"/>
              <w:suppressAutoHyphens w:val="0"/>
              <w:jc w:val="both"/>
              <w:rPr>
                <w:rFonts w:ascii="Arial" w:hAnsi="Arial" w:cs="Arial"/>
                <w:color w:val="000000"/>
                <w:sz w:val="21"/>
                <w:szCs w:val="21"/>
                <w:lang w:eastAsia="uk-UA"/>
              </w:rPr>
            </w:pPr>
            <w:r w:rsidRPr="00864B25">
              <w:rPr>
                <w:color w:val="000000"/>
                <w:lang w:eastAsia="uk-UA"/>
              </w:rPr>
              <w:t>місце проживання (перебування) особи разом з посвідкою на тимчасове проживання або</w:t>
            </w:r>
          </w:p>
          <w:p w:rsidR="00864B25" w:rsidRPr="00414B3B" w:rsidRDefault="00864B25" w:rsidP="00864B25">
            <w:pPr>
              <w:pStyle w:val="a5"/>
              <w:tabs>
                <w:tab w:val="left" w:pos="426"/>
              </w:tabs>
              <w:spacing w:line="240" w:lineRule="auto"/>
              <w:ind w:left="142"/>
              <w:rPr>
                <w:rFonts w:ascii="Times New Roman" w:eastAsia="Times New Roman" w:hAnsi="Times New Roman" w:cs="Times New Roman"/>
                <w:sz w:val="24"/>
                <w:szCs w:val="24"/>
                <w:lang w:val="uk-UA"/>
              </w:rPr>
            </w:pPr>
            <w:r w:rsidRPr="00864B25">
              <w:rPr>
                <w:rFonts w:ascii="Times New Roman" w:eastAsia="Times New Roman" w:hAnsi="Times New Roman" w:cs="Times New Roman"/>
                <w:sz w:val="24"/>
                <w:szCs w:val="24"/>
                <w:shd w:val="clear" w:color="auto" w:fill="FFFFFF"/>
                <w:lang w:val="uk-UA" w:eastAsia="uk-UA"/>
              </w:rPr>
              <w:t>посвідкою на постійне проживання або візою.</w:t>
            </w:r>
          </w:p>
        </w:tc>
      </w:tr>
    </w:tbl>
    <w:p w:rsidR="00F928B1" w:rsidRDefault="00F928B1" w:rsidP="00F928B1">
      <w:pPr>
        <w:jc w:val="both"/>
        <w:rPr>
          <w:b/>
          <w:bCs/>
          <w:highlight w:val="yellow"/>
          <w:lang w:eastAsia="ru-RU"/>
        </w:rPr>
      </w:pPr>
    </w:p>
    <w:p w:rsidR="009952D8" w:rsidRDefault="009952D8" w:rsidP="009952D8">
      <w:pPr>
        <w:ind w:firstLine="567"/>
        <w:jc w:val="both"/>
        <w:rPr>
          <w:lang w:eastAsia="ru-RU"/>
        </w:rPr>
      </w:pPr>
    </w:p>
    <w:p w:rsidR="009952D8" w:rsidRDefault="009952D8" w:rsidP="009952D8">
      <w:pPr>
        <w:ind w:firstLine="567"/>
        <w:jc w:val="both"/>
        <w:rPr>
          <w:lang w:eastAsia="ru-RU"/>
        </w:rPr>
      </w:pPr>
    </w:p>
    <w:p w:rsidR="009952D8" w:rsidRDefault="009952D8" w:rsidP="009952D8">
      <w:pPr>
        <w:ind w:firstLine="567"/>
        <w:jc w:val="both"/>
        <w:rPr>
          <w:lang w:eastAsia="ru-RU"/>
        </w:rPr>
      </w:pPr>
    </w:p>
    <w:p w:rsidR="009952D8" w:rsidRPr="00420160" w:rsidRDefault="009952D8" w:rsidP="009952D8">
      <w:pPr>
        <w:ind w:firstLine="567"/>
        <w:jc w:val="both"/>
        <w:rPr>
          <w:lang w:eastAsia="ru-RU"/>
        </w:rPr>
      </w:pPr>
    </w:p>
    <w:p w:rsidR="00B74BE3" w:rsidRPr="00A056AA" w:rsidRDefault="00B74BE3"/>
    <w:sectPr w:rsidR="00B74BE3" w:rsidRPr="00A056AA" w:rsidSect="00ED66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FC" w:rsidRDefault="00C500FC" w:rsidP="00136C6E">
      <w:r>
        <w:separator/>
      </w:r>
    </w:p>
  </w:endnote>
  <w:endnote w:type="continuationSeparator" w:id="0">
    <w:p w:rsidR="00C500FC" w:rsidRDefault="00C500FC" w:rsidP="001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00"/>
    <w:family w:val="auto"/>
    <w:pitch w:val="default"/>
  </w:font>
  <w:font w:name="Noto Sans Symbols">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FC" w:rsidRDefault="00C500FC" w:rsidP="00136C6E">
      <w:r>
        <w:separator/>
      </w:r>
    </w:p>
  </w:footnote>
  <w:footnote w:type="continuationSeparator" w:id="0">
    <w:p w:rsidR="00C500FC" w:rsidRDefault="00C500FC" w:rsidP="00136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8" w15:restartNumberingAfterBreak="0">
    <w:nsid w:val="34780D20"/>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0"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C726C"/>
    <w:multiLevelType w:val="hybridMultilevel"/>
    <w:tmpl w:val="FFE0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D306B18"/>
    <w:multiLevelType w:val="hybridMultilevel"/>
    <w:tmpl w:val="F3F0CD4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9" w15:restartNumberingAfterBreak="0">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8D1CFD"/>
    <w:multiLevelType w:val="hybridMultilevel"/>
    <w:tmpl w:val="0DDE5514"/>
    <w:lvl w:ilvl="0" w:tplc="7EF0198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22" w15:restartNumberingAfterBreak="0">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8"/>
  </w:num>
  <w:num w:numId="4">
    <w:abstractNumId w:val="21"/>
  </w:num>
  <w:num w:numId="5">
    <w:abstractNumId w:val="0"/>
  </w:num>
  <w:num w:numId="6">
    <w:abstractNumId w:val="13"/>
  </w:num>
  <w:num w:numId="7">
    <w:abstractNumId w:val="10"/>
  </w:num>
  <w:num w:numId="8">
    <w:abstractNumId w:val="22"/>
  </w:num>
  <w:num w:numId="9">
    <w:abstractNumId w:val="16"/>
  </w:num>
  <w:num w:numId="10">
    <w:abstractNumId w:val="1"/>
  </w:num>
  <w:num w:numId="11">
    <w:abstractNumId w:val="19"/>
  </w:num>
  <w:num w:numId="12">
    <w:abstractNumId w:val="17"/>
  </w:num>
  <w:num w:numId="13">
    <w:abstractNumId w:val="12"/>
  </w:num>
  <w:num w:numId="14">
    <w:abstractNumId w:val="20"/>
  </w:num>
  <w:num w:numId="15">
    <w:abstractNumId w:val="11"/>
  </w:num>
  <w:num w:numId="16">
    <w:abstractNumId w:val="3"/>
  </w:num>
  <w:num w:numId="17">
    <w:abstractNumId w:val="5"/>
  </w:num>
  <w:num w:numId="18">
    <w:abstractNumId w:val="8"/>
  </w:num>
  <w:num w:numId="19">
    <w:abstractNumId w:val="15"/>
  </w:num>
  <w:num w:numId="20">
    <w:abstractNumId w:val="4"/>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7D"/>
    <w:rsid w:val="00004635"/>
    <w:rsid w:val="0000485D"/>
    <w:rsid w:val="000055FA"/>
    <w:rsid w:val="00042E90"/>
    <w:rsid w:val="000F2A2C"/>
    <w:rsid w:val="00105D14"/>
    <w:rsid w:val="00112F98"/>
    <w:rsid w:val="00115AD3"/>
    <w:rsid w:val="00136C6E"/>
    <w:rsid w:val="00157897"/>
    <w:rsid w:val="001636C9"/>
    <w:rsid w:val="00176F50"/>
    <w:rsid w:val="001C72AE"/>
    <w:rsid w:val="001D36C1"/>
    <w:rsid w:val="001F134F"/>
    <w:rsid w:val="00213840"/>
    <w:rsid w:val="00264C7F"/>
    <w:rsid w:val="002835D0"/>
    <w:rsid w:val="00295FFC"/>
    <w:rsid w:val="002B5DF8"/>
    <w:rsid w:val="003318DA"/>
    <w:rsid w:val="00370325"/>
    <w:rsid w:val="00391405"/>
    <w:rsid w:val="003C61AC"/>
    <w:rsid w:val="003C7A8C"/>
    <w:rsid w:val="00407C7E"/>
    <w:rsid w:val="00421C2B"/>
    <w:rsid w:val="00447344"/>
    <w:rsid w:val="00460AFC"/>
    <w:rsid w:val="00477676"/>
    <w:rsid w:val="004A602A"/>
    <w:rsid w:val="004E369D"/>
    <w:rsid w:val="004E3826"/>
    <w:rsid w:val="0050792A"/>
    <w:rsid w:val="00513A46"/>
    <w:rsid w:val="00522BBA"/>
    <w:rsid w:val="00534E2F"/>
    <w:rsid w:val="005436D0"/>
    <w:rsid w:val="00543CFA"/>
    <w:rsid w:val="00585105"/>
    <w:rsid w:val="00592E14"/>
    <w:rsid w:val="005A113D"/>
    <w:rsid w:val="005B1569"/>
    <w:rsid w:val="005E2001"/>
    <w:rsid w:val="00602AC7"/>
    <w:rsid w:val="00616427"/>
    <w:rsid w:val="006317E3"/>
    <w:rsid w:val="00647EC7"/>
    <w:rsid w:val="00654AC9"/>
    <w:rsid w:val="006804DA"/>
    <w:rsid w:val="006E6AD7"/>
    <w:rsid w:val="00706546"/>
    <w:rsid w:val="00721D45"/>
    <w:rsid w:val="00727269"/>
    <w:rsid w:val="007433D9"/>
    <w:rsid w:val="00746EBF"/>
    <w:rsid w:val="00746F1B"/>
    <w:rsid w:val="007821A6"/>
    <w:rsid w:val="0079524F"/>
    <w:rsid w:val="00797AA5"/>
    <w:rsid w:val="007B23D6"/>
    <w:rsid w:val="007F180C"/>
    <w:rsid w:val="00801D2D"/>
    <w:rsid w:val="008069D1"/>
    <w:rsid w:val="00811778"/>
    <w:rsid w:val="00812E02"/>
    <w:rsid w:val="008317AA"/>
    <w:rsid w:val="00850D4F"/>
    <w:rsid w:val="00851C6D"/>
    <w:rsid w:val="00864B25"/>
    <w:rsid w:val="008C7904"/>
    <w:rsid w:val="008D09B4"/>
    <w:rsid w:val="008D4E6D"/>
    <w:rsid w:val="00951BA7"/>
    <w:rsid w:val="00971B8F"/>
    <w:rsid w:val="00993F7A"/>
    <w:rsid w:val="009952D8"/>
    <w:rsid w:val="009A2BE6"/>
    <w:rsid w:val="009A4B2C"/>
    <w:rsid w:val="009A5A9C"/>
    <w:rsid w:val="009C76BC"/>
    <w:rsid w:val="009D6C56"/>
    <w:rsid w:val="009F68C3"/>
    <w:rsid w:val="00A056A3"/>
    <w:rsid w:val="00A056AA"/>
    <w:rsid w:val="00A17893"/>
    <w:rsid w:val="00A23E4D"/>
    <w:rsid w:val="00A269AE"/>
    <w:rsid w:val="00A33BE0"/>
    <w:rsid w:val="00A3506D"/>
    <w:rsid w:val="00A43EB7"/>
    <w:rsid w:val="00A8486B"/>
    <w:rsid w:val="00AA18DC"/>
    <w:rsid w:val="00AB42E1"/>
    <w:rsid w:val="00AB469B"/>
    <w:rsid w:val="00AC40F5"/>
    <w:rsid w:val="00AF373B"/>
    <w:rsid w:val="00AF6E43"/>
    <w:rsid w:val="00B001DB"/>
    <w:rsid w:val="00B4762E"/>
    <w:rsid w:val="00B47B7D"/>
    <w:rsid w:val="00B55C96"/>
    <w:rsid w:val="00B74BE3"/>
    <w:rsid w:val="00B821AF"/>
    <w:rsid w:val="00B826A2"/>
    <w:rsid w:val="00B843D8"/>
    <w:rsid w:val="00B84456"/>
    <w:rsid w:val="00C4214A"/>
    <w:rsid w:val="00C500FC"/>
    <w:rsid w:val="00C55532"/>
    <w:rsid w:val="00C82565"/>
    <w:rsid w:val="00C830ED"/>
    <w:rsid w:val="00C86378"/>
    <w:rsid w:val="00CB2FFF"/>
    <w:rsid w:val="00CE2106"/>
    <w:rsid w:val="00CE28C7"/>
    <w:rsid w:val="00D12968"/>
    <w:rsid w:val="00D166C4"/>
    <w:rsid w:val="00D42CE7"/>
    <w:rsid w:val="00D46271"/>
    <w:rsid w:val="00D57901"/>
    <w:rsid w:val="00D62E5C"/>
    <w:rsid w:val="00D95370"/>
    <w:rsid w:val="00D978ED"/>
    <w:rsid w:val="00DE2052"/>
    <w:rsid w:val="00E018C3"/>
    <w:rsid w:val="00E03D46"/>
    <w:rsid w:val="00E123B3"/>
    <w:rsid w:val="00E34E1C"/>
    <w:rsid w:val="00E4019B"/>
    <w:rsid w:val="00E40CC5"/>
    <w:rsid w:val="00E45C60"/>
    <w:rsid w:val="00E60B30"/>
    <w:rsid w:val="00E73DBB"/>
    <w:rsid w:val="00E85190"/>
    <w:rsid w:val="00EB6E45"/>
    <w:rsid w:val="00ED576F"/>
    <w:rsid w:val="00ED6608"/>
    <w:rsid w:val="00ED7ACD"/>
    <w:rsid w:val="00EF7E93"/>
    <w:rsid w:val="00EF7F20"/>
    <w:rsid w:val="00F03A60"/>
    <w:rsid w:val="00F15DFC"/>
    <w:rsid w:val="00F236C7"/>
    <w:rsid w:val="00F34FD8"/>
    <w:rsid w:val="00F51ABC"/>
    <w:rsid w:val="00F64C7C"/>
    <w:rsid w:val="00F7139E"/>
    <w:rsid w:val="00F928B1"/>
    <w:rsid w:val="00F969DD"/>
    <w:rsid w:val="00FD2276"/>
    <w:rsid w:val="00FF5C64"/>
    <w:rsid w:val="00FF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30C95-5866-4B28-BBC8-3219655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Абзац списку 1,тв-Абзац списка,List_Paragraph,Multilevel para_II,List Paragraph1,List Paragraph-ExecSummary"/>
    <w:basedOn w:val="a"/>
    <w:link w:val="a6"/>
    <w:uiPriority w:val="1"/>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Абзац списку 1 Знак,тв-Абзац списка Знак,List_Paragraph Знак"/>
    <w:link w:val="a5"/>
    <w:uiPriority w:val="1"/>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uiPriority w:val="99"/>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basedOn w:val="a"/>
    <w:link w:val="a9"/>
    <w:uiPriority w:val="99"/>
    <w:rsid w:val="00AB42E1"/>
    <w:pPr>
      <w:spacing w:before="280" w:after="280"/>
    </w:pPr>
    <w:rPr>
      <w:lang w:val="ru-RU" w:eastAsia="ar-SA"/>
    </w:rPr>
  </w:style>
  <w:style w:type="character" w:customStyle="1" w:styleId="a9">
    <w:name w:val="Обычный (веб) Знак"/>
    <w:link w:val="a8"/>
    <w:uiPriority w:val="99"/>
    <w:locked/>
    <w:rsid w:val="00AB42E1"/>
    <w:rPr>
      <w:rFonts w:ascii="Times New Roman" w:eastAsia="Times New Roman" w:hAnsi="Times New Roman" w:cs="Times New Roman"/>
      <w:sz w:val="24"/>
      <w:szCs w:val="24"/>
      <w:lang w:val="ru-RU" w:eastAsia="ar-SA"/>
    </w:rPr>
  </w:style>
  <w:style w:type="paragraph" w:styleId="aa">
    <w:name w:val="No Spacing"/>
    <w:link w:val="ab"/>
    <w:uiPriority w:val="99"/>
    <w:qFormat/>
    <w:rsid w:val="002835D0"/>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835D0"/>
    <w:rPr>
      <w:rFonts w:ascii="Calibri" w:eastAsia="Calibri" w:hAnsi="Calibri" w:cs="Times New Roman"/>
    </w:rPr>
  </w:style>
  <w:style w:type="paragraph" w:styleId="HTML">
    <w:name w:val="HTML Preformatted"/>
    <w:basedOn w:val="a"/>
    <w:link w:val="HTML1"/>
    <w:uiPriority w:val="99"/>
    <w:rsid w:val="0028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1"/>
    <w:uiPriority w:val="99"/>
    <w:semiHidden/>
    <w:rsid w:val="002835D0"/>
    <w:rPr>
      <w:rFonts w:ascii="Consolas" w:eastAsia="Times New Roman" w:hAnsi="Consolas" w:cs="Times New Roman"/>
      <w:sz w:val="20"/>
      <w:szCs w:val="20"/>
      <w:lang w:eastAsia="zh-CN"/>
    </w:rPr>
  </w:style>
  <w:style w:type="character" w:customStyle="1" w:styleId="HTML1">
    <w:name w:val="Стандартный HTML Знак1"/>
    <w:link w:val="HTML"/>
    <w:uiPriority w:val="99"/>
    <w:locked/>
    <w:rsid w:val="002835D0"/>
    <w:rPr>
      <w:rFonts w:ascii="Courier New" w:eastAsia="Times New Roman" w:hAnsi="Courier New" w:cs="Times New Roman"/>
      <w:sz w:val="20"/>
      <w:szCs w:val="20"/>
      <w:lang w:val="ru-RU" w:eastAsia="ar-SA"/>
    </w:rPr>
  </w:style>
  <w:style w:type="paragraph" w:styleId="2">
    <w:name w:val="Body Text Indent 2"/>
    <w:basedOn w:val="a"/>
    <w:link w:val="20"/>
    <w:uiPriority w:val="99"/>
    <w:rsid w:val="00460AFC"/>
    <w:pPr>
      <w:suppressAutoHyphens w:val="0"/>
      <w:spacing w:after="120" w:line="480" w:lineRule="auto"/>
      <w:ind w:left="283"/>
    </w:pPr>
    <w:rPr>
      <w:lang w:val="ru-RU" w:eastAsia="ar-SA"/>
    </w:rPr>
  </w:style>
  <w:style w:type="character" w:customStyle="1" w:styleId="20">
    <w:name w:val="Основной текст с отступом 2 Знак"/>
    <w:basedOn w:val="a1"/>
    <w:link w:val="2"/>
    <w:uiPriority w:val="99"/>
    <w:rsid w:val="00460AFC"/>
    <w:rPr>
      <w:rFonts w:ascii="Times New Roman" w:eastAsia="Times New Roman" w:hAnsi="Times New Roman" w:cs="Times New Roman"/>
      <w:sz w:val="24"/>
      <w:szCs w:val="24"/>
      <w:lang w:val="ru-RU" w:eastAsia="ar-SA"/>
    </w:rPr>
  </w:style>
  <w:style w:type="paragraph" w:customStyle="1" w:styleId="tj">
    <w:name w:val="tj"/>
    <w:basedOn w:val="a"/>
    <w:rsid w:val="00460AFC"/>
    <w:pPr>
      <w:suppressAutoHyphens w:val="0"/>
      <w:spacing w:before="100" w:beforeAutospacing="1" w:after="100" w:afterAutospacing="1"/>
    </w:pPr>
    <w:rPr>
      <w:lang w:val="ru-RU" w:eastAsia="ru-RU"/>
    </w:rPr>
  </w:style>
  <w:style w:type="paragraph" w:styleId="ac">
    <w:name w:val="header"/>
    <w:basedOn w:val="a"/>
    <w:link w:val="ad"/>
    <w:uiPriority w:val="99"/>
    <w:rsid w:val="00CE28C7"/>
    <w:pPr>
      <w:tabs>
        <w:tab w:val="center" w:pos="4819"/>
        <w:tab w:val="right" w:pos="9639"/>
      </w:tabs>
      <w:suppressAutoHyphens w:val="0"/>
    </w:pPr>
    <w:rPr>
      <w:rFonts w:ascii="Calibri" w:eastAsia="Calibri" w:hAnsi="Calibri"/>
      <w:sz w:val="20"/>
      <w:szCs w:val="20"/>
      <w:lang w:val="ru-RU" w:eastAsia="ru-RU"/>
    </w:rPr>
  </w:style>
  <w:style w:type="character" w:customStyle="1" w:styleId="ad">
    <w:name w:val="Верхний колонтитул Знак"/>
    <w:basedOn w:val="a1"/>
    <w:link w:val="ac"/>
    <w:uiPriority w:val="99"/>
    <w:rsid w:val="00CE28C7"/>
    <w:rPr>
      <w:rFonts w:ascii="Calibri" w:eastAsia="Calibri" w:hAnsi="Calibri" w:cs="Times New Roman"/>
      <w:sz w:val="20"/>
      <w:szCs w:val="20"/>
      <w:lang w:val="ru-RU" w:eastAsia="ru-RU"/>
    </w:rPr>
  </w:style>
  <w:style w:type="paragraph" w:styleId="ae">
    <w:name w:val="Balloon Text"/>
    <w:basedOn w:val="a"/>
    <w:link w:val="af"/>
    <w:uiPriority w:val="99"/>
    <w:semiHidden/>
    <w:rsid w:val="00CE28C7"/>
    <w:pPr>
      <w:suppressAutoHyphens w:val="0"/>
    </w:pPr>
    <w:rPr>
      <w:rFonts w:ascii="Tahoma" w:eastAsia="Calibri" w:hAnsi="Tahoma"/>
      <w:sz w:val="16"/>
      <w:szCs w:val="16"/>
      <w:lang w:val="ru-RU" w:eastAsia="en-US"/>
    </w:rPr>
  </w:style>
  <w:style w:type="character" w:customStyle="1" w:styleId="af">
    <w:name w:val="Текст выноски Знак"/>
    <w:basedOn w:val="a1"/>
    <w:link w:val="ae"/>
    <w:uiPriority w:val="99"/>
    <w:semiHidden/>
    <w:rsid w:val="00CE28C7"/>
    <w:rPr>
      <w:rFonts w:ascii="Tahoma" w:eastAsia="Calibri" w:hAnsi="Tahoma" w:cs="Times New Roman"/>
      <w:sz w:val="16"/>
      <w:szCs w:val="16"/>
      <w:lang w:val="ru-RU"/>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B55C96"/>
    <w:pPr>
      <w:suppressAutoHyphens w:val="0"/>
      <w:spacing w:before="100" w:beforeAutospacing="1" w:after="100" w:afterAutospacing="1"/>
    </w:pPr>
    <w:rPr>
      <w:lang w:eastAsia="uk-UA"/>
    </w:rPr>
  </w:style>
  <w:style w:type="paragraph" w:styleId="af0">
    <w:name w:val="footer"/>
    <w:basedOn w:val="a"/>
    <w:link w:val="af1"/>
    <w:uiPriority w:val="99"/>
    <w:unhideWhenUsed/>
    <w:rsid w:val="00136C6E"/>
    <w:pPr>
      <w:tabs>
        <w:tab w:val="center" w:pos="4819"/>
        <w:tab w:val="right" w:pos="9639"/>
      </w:tabs>
    </w:pPr>
  </w:style>
  <w:style w:type="character" w:customStyle="1" w:styleId="af1">
    <w:name w:val="Нижний колонтитул Знак"/>
    <w:basedOn w:val="a1"/>
    <w:link w:val="af0"/>
    <w:uiPriority w:val="99"/>
    <w:rsid w:val="00136C6E"/>
    <w:rPr>
      <w:rFonts w:ascii="Times New Roman" w:eastAsia="Times New Roman" w:hAnsi="Times New Roman" w:cs="Times New Roman"/>
      <w:sz w:val="24"/>
      <w:szCs w:val="24"/>
      <w:lang w:eastAsia="zh-CN"/>
    </w:rPr>
  </w:style>
  <w:style w:type="paragraph" w:customStyle="1" w:styleId="af2">
    <w:name w:val="Вміст таблиці"/>
    <w:basedOn w:val="a"/>
    <w:qFormat/>
    <w:rsid w:val="00851C6D"/>
    <w:pPr>
      <w:suppressLineNumbers/>
      <w:suppressAutoHyphens w:val="0"/>
    </w:pPr>
    <w:rPr>
      <w:rFonts w:eastAsia="Arial"/>
      <w:color w:val="00000A"/>
      <w:lang w:val="ru-RU" w:eastAsia="ru-RU"/>
    </w:rPr>
  </w:style>
  <w:style w:type="table" w:styleId="af3">
    <w:name w:val="Table Grid"/>
    <w:basedOn w:val="a2"/>
    <w:uiPriority w:val="39"/>
    <w:rsid w:val="00F03A6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sid w:val="00F92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225">
      <w:bodyDiv w:val="1"/>
      <w:marLeft w:val="0"/>
      <w:marRight w:val="0"/>
      <w:marTop w:val="0"/>
      <w:marBottom w:val="0"/>
      <w:divBdr>
        <w:top w:val="none" w:sz="0" w:space="0" w:color="auto"/>
        <w:left w:val="none" w:sz="0" w:space="0" w:color="auto"/>
        <w:bottom w:val="none" w:sz="0" w:space="0" w:color="auto"/>
        <w:right w:val="none" w:sz="0" w:space="0" w:color="auto"/>
      </w:divBdr>
    </w:div>
    <w:div w:id="71586745">
      <w:bodyDiv w:val="1"/>
      <w:marLeft w:val="0"/>
      <w:marRight w:val="0"/>
      <w:marTop w:val="0"/>
      <w:marBottom w:val="0"/>
      <w:divBdr>
        <w:top w:val="none" w:sz="0" w:space="0" w:color="auto"/>
        <w:left w:val="none" w:sz="0" w:space="0" w:color="auto"/>
        <w:bottom w:val="none" w:sz="0" w:space="0" w:color="auto"/>
        <w:right w:val="none" w:sz="0" w:space="0" w:color="auto"/>
      </w:divBdr>
    </w:div>
    <w:div w:id="241183964">
      <w:bodyDiv w:val="1"/>
      <w:marLeft w:val="0"/>
      <w:marRight w:val="0"/>
      <w:marTop w:val="0"/>
      <w:marBottom w:val="0"/>
      <w:divBdr>
        <w:top w:val="none" w:sz="0" w:space="0" w:color="auto"/>
        <w:left w:val="none" w:sz="0" w:space="0" w:color="auto"/>
        <w:bottom w:val="none" w:sz="0" w:space="0" w:color="auto"/>
        <w:right w:val="none" w:sz="0" w:space="0" w:color="auto"/>
      </w:divBdr>
    </w:div>
    <w:div w:id="272054996">
      <w:bodyDiv w:val="1"/>
      <w:marLeft w:val="0"/>
      <w:marRight w:val="0"/>
      <w:marTop w:val="0"/>
      <w:marBottom w:val="0"/>
      <w:divBdr>
        <w:top w:val="none" w:sz="0" w:space="0" w:color="auto"/>
        <w:left w:val="none" w:sz="0" w:space="0" w:color="auto"/>
        <w:bottom w:val="none" w:sz="0" w:space="0" w:color="auto"/>
        <w:right w:val="none" w:sz="0" w:space="0" w:color="auto"/>
      </w:divBdr>
    </w:div>
    <w:div w:id="303900822">
      <w:bodyDiv w:val="1"/>
      <w:marLeft w:val="0"/>
      <w:marRight w:val="0"/>
      <w:marTop w:val="0"/>
      <w:marBottom w:val="0"/>
      <w:divBdr>
        <w:top w:val="none" w:sz="0" w:space="0" w:color="auto"/>
        <w:left w:val="none" w:sz="0" w:space="0" w:color="auto"/>
        <w:bottom w:val="none" w:sz="0" w:space="0" w:color="auto"/>
        <w:right w:val="none" w:sz="0" w:space="0" w:color="auto"/>
      </w:divBdr>
    </w:div>
    <w:div w:id="308747642">
      <w:bodyDiv w:val="1"/>
      <w:marLeft w:val="0"/>
      <w:marRight w:val="0"/>
      <w:marTop w:val="0"/>
      <w:marBottom w:val="0"/>
      <w:divBdr>
        <w:top w:val="none" w:sz="0" w:space="0" w:color="auto"/>
        <w:left w:val="none" w:sz="0" w:space="0" w:color="auto"/>
        <w:bottom w:val="none" w:sz="0" w:space="0" w:color="auto"/>
        <w:right w:val="none" w:sz="0" w:space="0" w:color="auto"/>
      </w:divBdr>
    </w:div>
    <w:div w:id="429006220">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70492343">
      <w:bodyDiv w:val="1"/>
      <w:marLeft w:val="0"/>
      <w:marRight w:val="0"/>
      <w:marTop w:val="0"/>
      <w:marBottom w:val="0"/>
      <w:divBdr>
        <w:top w:val="none" w:sz="0" w:space="0" w:color="auto"/>
        <w:left w:val="none" w:sz="0" w:space="0" w:color="auto"/>
        <w:bottom w:val="none" w:sz="0" w:space="0" w:color="auto"/>
        <w:right w:val="none" w:sz="0" w:space="0" w:color="auto"/>
      </w:divBdr>
    </w:div>
    <w:div w:id="1376462691">
      <w:bodyDiv w:val="1"/>
      <w:marLeft w:val="0"/>
      <w:marRight w:val="0"/>
      <w:marTop w:val="0"/>
      <w:marBottom w:val="0"/>
      <w:divBdr>
        <w:top w:val="none" w:sz="0" w:space="0" w:color="auto"/>
        <w:left w:val="none" w:sz="0" w:space="0" w:color="auto"/>
        <w:bottom w:val="none" w:sz="0" w:space="0" w:color="auto"/>
        <w:right w:val="none" w:sz="0" w:space="0" w:color="auto"/>
      </w:divBdr>
    </w:div>
    <w:div w:id="1438452231">
      <w:bodyDiv w:val="1"/>
      <w:marLeft w:val="0"/>
      <w:marRight w:val="0"/>
      <w:marTop w:val="0"/>
      <w:marBottom w:val="0"/>
      <w:divBdr>
        <w:top w:val="none" w:sz="0" w:space="0" w:color="auto"/>
        <w:left w:val="none" w:sz="0" w:space="0" w:color="auto"/>
        <w:bottom w:val="none" w:sz="0" w:space="0" w:color="auto"/>
        <w:right w:val="none" w:sz="0" w:space="0" w:color="auto"/>
      </w:divBdr>
    </w:div>
    <w:div w:id="1551764141">
      <w:bodyDiv w:val="1"/>
      <w:marLeft w:val="0"/>
      <w:marRight w:val="0"/>
      <w:marTop w:val="0"/>
      <w:marBottom w:val="0"/>
      <w:divBdr>
        <w:top w:val="none" w:sz="0" w:space="0" w:color="auto"/>
        <w:left w:val="none" w:sz="0" w:space="0" w:color="auto"/>
        <w:bottom w:val="none" w:sz="0" w:space="0" w:color="auto"/>
        <w:right w:val="none" w:sz="0" w:space="0" w:color="auto"/>
      </w:divBdr>
    </w:div>
    <w:div w:id="1697464735">
      <w:bodyDiv w:val="1"/>
      <w:marLeft w:val="0"/>
      <w:marRight w:val="0"/>
      <w:marTop w:val="0"/>
      <w:marBottom w:val="0"/>
      <w:divBdr>
        <w:top w:val="none" w:sz="0" w:space="0" w:color="auto"/>
        <w:left w:val="none" w:sz="0" w:space="0" w:color="auto"/>
        <w:bottom w:val="none" w:sz="0" w:space="0" w:color="auto"/>
        <w:right w:val="none" w:sz="0" w:space="0" w:color="auto"/>
      </w:divBdr>
    </w:div>
    <w:div w:id="1866669457">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204486718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9DDF-E218-4BDB-A336-27904B67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14998</Words>
  <Characters>8549</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2023-12-04T09:39:00Z</cp:lastPrinted>
  <dcterms:created xsi:type="dcterms:W3CDTF">2023-11-30T13:02:00Z</dcterms:created>
  <dcterms:modified xsi:type="dcterms:W3CDTF">2023-12-04T14:06:00Z</dcterms:modified>
</cp:coreProperties>
</file>