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0422D7" w:rsidRDefault="00F40128" w:rsidP="00F4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/>
        </w:rPr>
      </w:pPr>
      <w:r w:rsidRPr="00F40128">
        <w:rPr>
          <w:b/>
        </w:rPr>
        <w:t xml:space="preserve">Будівництво розвантажувальної ТП для розвантаження ТП-227 та ТП-239 </w:t>
      </w:r>
      <w:r>
        <w:rPr>
          <w:b/>
          <w:lang w:val="ru-RU"/>
        </w:rPr>
        <w:br/>
      </w:r>
      <w:r w:rsidRPr="00F40128">
        <w:rPr>
          <w:b/>
        </w:rPr>
        <w:t>м. Івано-Франківськ філії Центральна, ПЛ-10 кВ, ПЛ-0,4 кВ для підключення проектованого ТП</w:t>
      </w:r>
    </w:p>
    <w:p w:rsidR="00F40128" w:rsidRPr="00F40128" w:rsidRDefault="00F40128" w:rsidP="00F4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М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онтаж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КЛ 10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місткістю 0,25 м3, група ґрунтів 3 /об'єму грунту, що знаходиться 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вiдстанi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</w:t>
            </w:r>
            <w:r w:rsidRPr="00A2619D">
              <w:rPr>
                <w:spacing w:val="-3"/>
                <w:sz w:val="20"/>
                <w:szCs w:val="20"/>
              </w:rPr>
              <w:lastRenderedPageBreak/>
              <w:t xml:space="preserve">до 2 м вiд надземних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предметiв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якi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заважають/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lastRenderedPageBreak/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117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Розробка грунту вручну з кріпленням у траншеях шириною до 2 м, глибиною до 2 м, група грунтів 2.; 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мiсцях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, що знаходяться 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вiдстанi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до 1м вiд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кабелiв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, що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прокладенi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в трубопроводах або коробах, а також вiд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водопровiдних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каналiзацiйних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труб.; 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мiсцях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, що знаходяться 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вiдстанi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до 1м вiд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кабелiв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, що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прокладенi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в трубопроводах або коробах, а також вiд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водопровiдних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каналiзацiйних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труб 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проїжджiй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частинi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вулиць i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дорiг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наявностi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систематичного руху транспорту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117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Засипка траншей і котлованів бульдозерами потужністю 59 кВт [80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к.с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>.] з переміщенням ґрунту до 5 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78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Ущiльнення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грунту пневматичними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трамбiвками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, група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грунтiв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78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Навантаження ґрунту вручну на автомобілі-самоскиди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39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Перевезення грунту до 15 км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62,4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Будівництво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КЛ-10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320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Додавати до норми 8-142-1 на кожний наступний кабель при улаштуванні постелі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320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Кабель до 35 кВ, що прокладається по дну каналу без кріплення, маса 1 м до 9 кг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Кабель до 35 кВ, що прокладається у готових траншеях без покриттів, маса 1 м до 9 кг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490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Кабель до 35 кВ у прокладених трубах, блоках і коробах, маса 1 м до 9 кг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216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Монтаж муфти сполучної для кабеля напругою до 10 кВ, переріз однієї жили до 240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Монтаж муфти кінцевої епоксидної для кабеля напругою до 10 кВ, переріз однієї жили до 240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м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646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Укладання труб сталевих діаметром до 200 мм у траншеї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84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Укладання труб поліетиленових діаметром 110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Установлення датчика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150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Герметизація проходів ущільнюючою масою при вводі кабелів у приміщення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прохiд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Відновлення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асфальтного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покриття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Нарізування швів асфальтного покриття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80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На кожні 0,5 см зміни товщини шару додавати або виключати до норми 18-43-1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240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13,2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Улаштування основи щебеневої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13,2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Вимірювання опору ізоляції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мегаомметром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Випробування підвищеною напругою кабеля силового, напруга до 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електричної лінії або трансформатора з мережею, напруга понад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М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онтаж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КТП-1х400/10/0,</w:t>
            </w:r>
            <w:r w:rsidRPr="00A2619D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Будівництво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КТП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2,6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Засипка вручну траншей, пазух котлованів і ям, група грунтів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2,6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0,32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Установлення блоків стін підвалів масою до 1,5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Конструкції металеві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0,059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Установлення комплектних трансформаторних підстанцій потужністю до 630 кВА тупикових з повітряними вводами, монтажні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3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Контур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заземлення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Засипка вручну траншей, пазух котлованів і ям, група грунтів 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12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35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lastRenderedPageBreak/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Пусконалагоджувальні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Вимірювання коефіцієнта абсорбції (Р60/Р15) обмоток трансформаторів і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електринних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машин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Роз'єднувач трьохполюсний, напругою до 20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Вимикачі трьохполюсні: з електромагнітним, тепловим або комбінованим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розчеплювачем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>, номінальний струм до 600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Вимірювання струмів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або пробивної напруги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разрядника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або струмів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обмежувача напруги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Замірювання електричного опору контуру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заземленння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підстанціЇ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пiдстан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Обмотка трансформатора вимірювального первинна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Обмотка трансформатора вимірювального вторинна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Ввід і прохідний ізолятор з фарфоровою, рідкою або паперовою ізоляцією (до установки на обладнанні)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Випробування масла на пробій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Замірювання повного опору ланцюга "фаза-нуль"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Вимірювання опору розтіканню струму заземлювача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Перевірка наявності ланцюга між заземлювачами і заземленими елементами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_точ.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лінії або трансформатора з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мірежею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напругою понад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Трансформатори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трьохфазні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масляні: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двохобмотковий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напругою до 11 кВ, потужність до 0,32 МВА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0,48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ВЛ 0,38 кВ на переходах довжиною до 100 м через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дороги 2 i 3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лiнiями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зв'язку, ВЛ 0,38 кВ (1/25м)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21,9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4F78F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38069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1,83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1,83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373DD3" w:rsidRPr="001F0616" w:rsidTr="0038069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8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0,082</w:t>
            </w:r>
          </w:p>
        </w:tc>
      </w:tr>
      <w:tr w:rsidR="00373DD3" w:rsidRPr="001F0616" w:rsidTr="0038069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A2619D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A2619D">
              <w:rPr>
                <w:sz w:val="20"/>
                <w:szCs w:val="16"/>
              </w:rPr>
              <w:t xml:space="preserve"> 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електричної лінії або трансформатора з мережею, напруга до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Вимірювання струмів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або пробивної напруги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разрядника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або струмів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обмежувача напруги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Пристрої, що заземлюють. Замір повного опору кола «фаза - нуль»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</w:tr>
      <w:tr w:rsidR="00373DD3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Пристрої, що заземлюють. Вимірювання опору розтіканню струму контуру з діагоналлю до 20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D3" w:rsidRPr="00A2619D" w:rsidRDefault="00373DD3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</w:t>
            </w:r>
          </w:p>
        </w:tc>
      </w:tr>
    </w:tbl>
    <w:p w:rsidR="00373DD3" w:rsidRDefault="00373DD3" w:rsidP="00562325">
      <w:pPr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</w:tblGrid>
      <w:tr w:rsidR="00562325" w:rsidRPr="001F0616" w:rsidTr="00FF4194">
        <w:trPr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FF4194"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Фарба олійна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для зовнішніх робіт МА-015 світло-бежева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0,001225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0,0024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Мастика морозостійка бітумно-масляна МБ- 50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0,0744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Товстолистовий прокат із вуглецевої сталі звичайної якості гарячекатаний з обрізними кромками,товщина 9-12 мм, сталь марки Ст3сп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0,0049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0,046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Портландцемент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загальнобудівельного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призначення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бездобавковий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>, марка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0,00295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0,021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Лак бітумний, марка БТ-123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0,0004248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0,0007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0,00072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Стрiчка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сигнальна "Обережно кабель" 300х0,1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646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Сталь кругла 10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0,022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Сталь кругла 16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0,0474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0,0037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0,0316</w:t>
            </w:r>
          </w:p>
        </w:tc>
      </w:tr>
      <w:tr w:rsidR="00FF4194" w:rsidRPr="001F0616" w:rsidTr="00167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0,001833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Емульсія бітумна,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дорожна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0,048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звичайні неоцинковані, діаметр умовного проходу 80 мм, товщина стінки 4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15,3192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Муфта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кінц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зовн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10 кВ БПІ 3х150-240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Термофіт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10КНТпН-9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Муфта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з'єдн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10 кВ БПІ3х150-240Термофіт СТп-9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Труба стальна d=159мм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84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Труба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гофр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двостінна110 мм чорна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9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Пасивний маркер 1402СЕ-ХR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0,073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Проводи мідні гнучкі, марка МГ, переріз 4 мм2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0,000716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Кабель силовий з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алюмiнiєвою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жилою, марка АСБл-3х150 мм2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0,71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4x35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0,03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4x70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0,45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Дріт сталевий оцинкований, діаметр 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0,0002832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0,049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0,768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Емаль ЭП-51 світло-сіра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0,00024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TTD 171 Затискачі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для підключення додаткового обладнання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21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13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з незалежним підключенням двох абонентів TT2D 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15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для опор СВ105-5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Щебінь із природного каменю для будівельних робіт, фракція 20-40 мм, марка М1000 і більше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13,2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0,368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15,18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Пiсок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природний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39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3,4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0,80885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Суміші бетонні готові важкі, клас бетону В10 [М150], крупність заповнювача більше 10 до 20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0,0188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кладковий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важкий цементний, марка М100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0,118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Листи свинцеві марки С0, нормальної точності, товщина 1,0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0,005664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Припої олов'яно-свинцеві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безсурм'янисті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в чушках, марка ПОС40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0,00168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Шнур азбестовий загального призначення, марка ШАОН, діаметр 2,0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0,0016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Шнур азбестовий загального призначення, марка ШАОН, діаметр 3,0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0,00024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Склострічка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липка ізоляційна на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полікасиновому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компаунді, марка ЛСЭПЛ, ширина 20-30 мм, товщина від 0,14 до 0,19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0,359664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Втулка В54, В59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0,0864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Гільза з'єднувальна Г-25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0,0612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Дюбелі з розпірною гайкою ДГ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0,0472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Кнопка К227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0,670656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0,077568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0,01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30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10,5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Шайба квадратна К859/2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0,08378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PGA 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7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Затискач підтримуючий магістральний PSP 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магістральний TTD 301 NEO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9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 xml:space="preserve">Паста </w:t>
            </w:r>
            <w:proofErr w:type="spellStart"/>
            <w:r w:rsidRPr="00A2619D">
              <w:rPr>
                <w:spacing w:val="-3"/>
                <w:sz w:val="20"/>
                <w:szCs w:val="20"/>
              </w:rPr>
              <w:t>кварцевазелинова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0,009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Припой</w:t>
            </w:r>
            <w:proofErr w:type="spellEnd"/>
            <w:r w:rsidRPr="00A2619D">
              <w:rPr>
                <w:spacing w:val="-3"/>
                <w:sz w:val="20"/>
                <w:szCs w:val="20"/>
              </w:rPr>
              <w:t xml:space="preserve"> ПОС-18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0,00354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0,0006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Тавот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20,0232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Ущільнювальна суміш УС-65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2,88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Піна монтажна 750 мл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5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Датчик короткого замикання НМN-20-0104- 001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6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8B24FC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6661D">
              <w:rPr>
                <w:spacing w:val="-3"/>
                <w:sz w:val="20"/>
                <w:szCs w:val="20"/>
              </w:rPr>
              <w:t>Блоки бетонн</w:t>
            </w:r>
            <w:r>
              <w:rPr>
                <w:spacing w:val="-3"/>
                <w:sz w:val="20"/>
                <w:szCs w:val="20"/>
              </w:rPr>
              <w:t>і</w:t>
            </w:r>
            <w:r w:rsidRPr="0066661D">
              <w:rPr>
                <w:spacing w:val="-3"/>
                <w:sz w:val="20"/>
                <w:szCs w:val="20"/>
              </w:rPr>
              <w:t xml:space="preserve"> для ст</w:t>
            </w:r>
            <w:r>
              <w:rPr>
                <w:spacing w:val="-3"/>
                <w:sz w:val="20"/>
                <w:szCs w:val="20"/>
              </w:rPr>
              <w:t>і</w:t>
            </w:r>
            <w:r w:rsidRPr="0066661D">
              <w:rPr>
                <w:spacing w:val="-3"/>
                <w:sz w:val="20"/>
                <w:szCs w:val="20"/>
              </w:rPr>
              <w:t xml:space="preserve">н </w:t>
            </w:r>
            <w:r>
              <w:rPr>
                <w:spacing w:val="-3"/>
                <w:sz w:val="20"/>
                <w:szCs w:val="20"/>
              </w:rPr>
              <w:t>і підвалів</w:t>
            </w:r>
            <w:r w:rsidRPr="0066661D">
              <w:rPr>
                <w:spacing w:val="-3"/>
                <w:sz w:val="20"/>
                <w:szCs w:val="20"/>
              </w:rPr>
              <w:t xml:space="preserve"> марки ФБС24.4.6-Т ГОСТ 13579-78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4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2619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0,021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Ковпачок GPE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A2619D" w:rsidRDefault="00FF4194" w:rsidP="00BB185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0,2</w:t>
            </w:r>
          </w:p>
        </w:tc>
      </w:tr>
      <w:tr w:rsidR="00FF4194" w:rsidRPr="001F0616" w:rsidTr="00FF41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E13ECA" w:rsidRDefault="00E13ECA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010D5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2619D">
              <w:rPr>
                <w:spacing w:val="-3"/>
                <w:sz w:val="20"/>
                <w:szCs w:val="20"/>
              </w:rPr>
              <w:t>Підстанція трансформаторна комплектна типу КТПУ-1В- 400-10/04,У1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F0616">
              <w:rPr>
                <w:spacing w:val="-3"/>
                <w:sz w:val="20"/>
                <w:szCs w:val="20"/>
              </w:rPr>
              <w:t>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4</w:t>
            </w:r>
            <w:r w:rsidRPr="001F0616">
              <w:rPr>
                <w:spacing w:val="-3"/>
                <w:sz w:val="20"/>
                <w:szCs w:val="20"/>
              </w:rPr>
              <w:t xml:space="preserve">00 кВА 10(6) кВ </w:t>
            </w:r>
            <w:r w:rsidR="00A63DD4" w:rsidRPr="00A63DD4">
              <w:rPr>
                <w:spacing w:val="-3"/>
                <w:sz w:val="20"/>
                <w:szCs w:val="20"/>
              </w:rPr>
              <w:t xml:space="preserve"> Д/Ун-11 </w:t>
            </w:r>
            <w:r w:rsidRPr="001F0616">
              <w:rPr>
                <w:spacing w:val="-3"/>
                <w:sz w:val="20"/>
                <w:szCs w:val="20"/>
              </w:rPr>
              <w:t>(екодизайн)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010D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4" w:rsidRPr="001F0616" w:rsidRDefault="00FF4194" w:rsidP="00010D5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B26366" w:rsidRDefault="00B26366" w:rsidP="00C71F81">
      <w:pPr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73DD3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55205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4FC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63DD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B185B"/>
    <w:rsid w:val="00BC3832"/>
    <w:rsid w:val="00BD044E"/>
    <w:rsid w:val="00BD3B15"/>
    <w:rsid w:val="00BD57B6"/>
    <w:rsid w:val="00BE3FE7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13ECA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D25F4"/>
    <w:rsid w:val="00EE032D"/>
    <w:rsid w:val="00EE769C"/>
    <w:rsid w:val="00EE7F3F"/>
    <w:rsid w:val="00EF2CD2"/>
    <w:rsid w:val="00EF5914"/>
    <w:rsid w:val="00F220A6"/>
    <w:rsid w:val="00F3226A"/>
    <w:rsid w:val="00F40128"/>
    <w:rsid w:val="00F412E2"/>
    <w:rsid w:val="00F560AF"/>
    <w:rsid w:val="00F6039C"/>
    <w:rsid w:val="00F7038D"/>
    <w:rsid w:val="00F8280B"/>
    <w:rsid w:val="00FC4BEE"/>
    <w:rsid w:val="00FC5E72"/>
    <w:rsid w:val="00FD174B"/>
    <w:rsid w:val="00FD6F0F"/>
    <w:rsid w:val="00FF419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AD74-7130-4152-8F7C-89F3D6F2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34C8-B34F-4608-BA86-83D95006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9612</Words>
  <Characters>5479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8</cp:revision>
  <dcterms:created xsi:type="dcterms:W3CDTF">2021-12-18T14:21:00Z</dcterms:created>
  <dcterms:modified xsi:type="dcterms:W3CDTF">2021-12-23T07:23:00Z</dcterms:modified>
</cp:coreProperties>
</file>