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87" w:rsidRPr="00643387" w:rsidRDefault="00933A24" w:rsidP="00643387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>Додаток №1</w:t>
      </w:r>
    </w:p>
    <w:p w:rsidR="00643387" w:rsidRPr="00643387" w:rsidRDefault="00643387" w:rsidP="00643387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3387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>до тендерної документації</w:t>
      </w:r>
    </w:p>
    <w:p w:rsidR="00933A24" w:rsidRDefault="00933A24" w:rsidP="006433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933A24" w:rsidRPr="00933A24" w:rsidRDefault="00933A24" w:rsidP="00933A24">
      <w:pPr>
        <w:numPr>
          <w:ilvl w:val="0"/>
          <w:numId w:val="1"/>
        </w:numPr>
        <w:shd w:val="clear" w:color="auto" w:fill="FFFFFF"/>
        <w:spacing w:after="0" w:line="240" w:lineRule="auto"/>
        <w:ind w:left="-142" w:right="-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документів та інформації для підтвердження відповідності УЧАСНИКА кваліфікаційним критеріям, визначеним у статті 16 Закону “Про публічні закупівлі”:</w:t>
      </w:r>
    </w:p>
    <w:p w:rsidR="00933A24" w:rsidRDefault="00933A24" w:rsidP="006433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643387" w:rsidRPr="00643387" w:rsidRDefault="00643387" w:rsidP="006433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64338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Кваліфікаційні критерії для учасників тендеру</w:t>
      </w:r>
    </w:p>
    <w:p w:rsidR="00643387" w:rsidRPr="00643387" w:rsidRDefault="00643387" w:rsidP="00643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3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Перелік документів для підтвердження відповідності учасника вимогам, визначеним у статті 16 Закону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62"/>
        <w:gridCol w:w="6354"/>
      </w:tblGrid>
      <w:tr w:rsidR="00643387" w:rsidRPr="00643387" w:rsidTr="00E420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7" w:rsidRPr="00643387" w:rsidRDefault="00643387" w:rsidP="00643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38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7" w:rsidRPr="00643387" w:rsidRDefault="00643387" w:rsidP="00643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387">
              <w:rPr>
                <w:rFonts w:ascii="Times New Roman" w:eastAsia="Times New Roman" w:hAnsi="Times New Roman" w:cs="Times New Roman"/>
                <w:b/>
                <w:lang w:eastAsia="ru-RU"/>
              </w:rPr>
              <w:t>Кваліфікаційні критерії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7" w:rsidRPr="00643387" w:rsidRDefault="00643387" w:rsidP="00643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387">
              <w:rPr>
                <w:rFonts w:ascii="Times New Roman" w:eastAsia="Times New Roman" w:hAnsi="Times New Roman" w:cs="Times New Roman"/>
                <w:b/>
                <w:lang w:eastAsia="ru-RU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643387" w:rsidRPr="00643387" w:rsidTr="00E420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7" w:rsidRPr="00643387" w:rsidRDefault="00643387" w:rsidP="00643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7" w:rsidRPr="00643387" w:rsidRDefault="00643387" w:rsidP="00643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87">
              <w:rPr>
                <w:rFonts w:ascii="Times New Roman" w:eastAsia="Times New Roman" w:hAnsi="Times New Roman" w:cs="Times New Roman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FC" w:rsidRDefault="00643387" w:rsidP="0064338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43387">
              <w:rPr>
                <w:rFonts w:ascii="Times New Roman" w:eastAsia="Arial" w:hAnsi="Times New Roman" w:cs="Times New Roman"/>
                <w:lang w:eastAsia="ru-RU"/>
              </w:rPr>
              <w:t xml:space="preserve">1.1. На підтвердження досвіду виконання аналогічного (аналогічних) за предметом закупівлі договору (договорів) Учасник має надати: </w:t>
            </w:r>
          </w:p>
          <w:p w:rsidR="000D69FC" w:rsidRPr="00014725" w:rsidRDefault="00643387" w:rsidP="0064338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lang w:eastAsia="ru-RU"/>
              </w:rPr>
            </w:pPr>
            <w:r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>1.1.1. Довідка довільної форми, про наявність в учасника досвіду виконання договору (договорів) на постачання</w:t>
            </w:r>
            <w:r w:rsidR="0033706B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 (закупівлю) природного газу</w:t>
            </w:r>
            <w:r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 з обов’язковим відображенням в такому договорі предмету постачання (закупівлі) за </w:t>
            </w:r>
            <w:r w:rsidR="004F457F"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кодом </w:t>
            </w:r>
            <w:r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ДК 021:2015: </w:t>
            </w:r>
            <w:r w:rsidR="004F457F"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09120000-6 – Газове паливо. </w:t>
            </w:r>
            <w:r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>В довідці обов’язково повинно бути зазначено: предмет договору, суму (ціну) виконаного договору, його № та дату, найменування, адреса та контактні дані контрагента, дати укладання договору, стан виконання дого</w:t>
            </w:r>
            <w:r w:rsidR="00AD5D85"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вору, фактичний обсяг (в </w:t>
            </w:r>
            <w:proofErr w:type="spellStart"/>
            <w:r w:rsidR="00AD5D85"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>тис.куб.м</w:t>
            </w:r>
            <w:proofErr w:type="spellEnd"/>
            <w:r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). </w:t>
            </w:r>
          </w:p>
          <w:p w:rsidR="004F457F" w:rsidRDefault="00643387" w:rsidP="000D69F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>1.1.2. Не менше 2-х копії договору, зазначеного в довідці в повному обсязі з додатками (якщо вони є невід’ємною частиною договорів) досвіду виконання договору (договорів) на постачання</w:t>
            </w:r>
            <w:r w:rsidR="0033706B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 (закупівлю) природного газу</w:t>
            </w:r>
            <w:r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 xml:space="preserve"> з обов’язковим відображенням в такому договорі предмету постачання (закупівлі) за ДК 021:2015: </w:t>
            </w:r>
            <w:r w:rsidR="004F457F" w:rsidRPr="00014725">
              <w:rPr>
                <w:rFonts w:ascii="Times New Roman" w:eastAsia="Arial" w:hAnsi="Times New Roman" w:cs="Times New Roman"/>
                <w:color w:val="FF0000"/>
                <w:lang w:eastAsia="ru-RU"/>
              </w:rPr>
              <w:t>09120000-6 – Газове паливо.</w:t>
            </w:r>
          </w:p>
          <w:p w:rsidR="004F457F" w:rsidRDefault="004F457F" w:rsidP="000D69F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0D69FC" w:rsidRPr="00643387" w:rsidRDefault="00643387" w:rsidP="000D69F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43387">
              <w:rPr>
                <w:rFonts w:ascii="Times New Roman" w:eastAsia="Arial" w:hAnsi="Times New Roman" w:cs="Times New Roman"/>
                <w:lang w:eastAsia="ru-RU"/>
              </w:rPr>
              <w:t xml:space="preserve">* Надання вказаних документів не обов’язкове, якщо вони є у відкритих джерелах інформації, посилання на які відображені в довідці, наданої згідно </w:t>
            </w:r>
            <w:proofErr w:type="spellStart"/>
            <w:r w:rsidRPr="00643387">
              <w:rPr>
                <w:rFonts w:ascii="Times New Roman" w:eastAsia="Arial" w:hAnsi="Times New Roman" w:cs="Times New Roman"/>
                <w:lang w:eastAsia="ru-RU"/>
              </w:rPr>
              <w:t>пп</w:t>
            </w:r>
            <w:proofErr w:type="spellEnd"/>
            <w:r w:rsidRPr="00643387">
              <w:rPr>
                <w:rFonts w:ascii="Times New Roman" w:eastAsia="Arial" w:hAnsi="Times New Roman" w:cs="Times New Roman"/>
                <w:lang w:eastAsia="ru-RU"/>
              </w:rPr>
              <w:t xml:space="preserve">. 1.1.1. цього Додатку. Посилання на відкрите джерело інформації буде дійсним, якщо за даним посиланням Замовник вільно та безперешкодно зможе переглянути усі вищевказані документи в повному обсязі, без виконання будь-яких додаткових умов (проведення авторизації, проведення розархівування даних, введення будь-яких паролів, тощо). </w:t>
            </w:r>
          </w:p>
          <w:p w:rsidR="00643387" w:rsidRPr="00643387" w:rsidRDefault="00643387" w:rsidP="0064338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</w:tbl>
    <w:p w:rsidR="00643387" w:rsidRPr="00643387" w:rsidRDefault="00643387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3"/>
          <w:szCs w:val="23"/>
          <w:lang w:eastAsia="ru-RU"/>
        </w:rPr>
      </w:pPr>
    </w:p>
    <w:p w:rsidR="00933A24" w:rsidRDefault="00933A24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eastAsia="ru-RU"/>
        </w:rPr>
      </w:pPr>
    </w:p>
    <w:p w:rsidR="00933A24" w:rsidRPr="00933A24" w:rsidRDefault="00933A24" w:rsidP="00933A2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eastAsia="ru-RU"/>
        </w:rPr>
      </w:pPr>
      <w:r w:rsidRPr="00933A24">
        <w:rPr>
          <w:rFonts w:ascii="Times New Roman" w:eastAsia="Arial" w:hAnsi="Times New Roman" w:cs="Times New Roman"/>
          <w:b/>
          <w:sz w:val="23"/>
          <w:szCs w:val="23"/>
          <w:lang w:eastAsia="ru-RU"/>
        </w:rPr>
        <w:t>2. Підтвердження відповідності Переможця вимогам визначеним у пункті 47 Особливостей.</w:t>
      </w:r>
    </w:p>
    <w:p w:rsidR="00933A24" w:rsidRPr="00933A24" w:rsidRDefault="00933A24" w:rsidP="00933A2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eastAsia="ru-RU"/>
        </w:rPr>
      </w:pPr>
      <w:r w:rsidRPr="00933A24">
        <w:rPr>
          <w:rFonts w:ascii="Times New Roman" w:eastAsia="Arial" w:hAnsi="Times New Roman" w:cs="Times New Roman"/>
          <w:b/>
          <w:sz w:val="23"/>
          <w:szCs w:val="23"/>
          <w:lang w:eastAsia="ru-RU"/>
        </w:rPr>
        <w:t> </w:t>
      </w:r>
    </w:p>
    <w:p w:rsidR="00933A24" w:rsidRPr="00933A24" w:rsidRDefault="00933A24" w:rsidP="00933A24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</w:pPr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Спосіб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документального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підтвердження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згідно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із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законодавством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відсутності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підстав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,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передбачених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п. 47 </w:t>
      </w:r>
      <w:proofErr w:type="spellStart"/>
      <w:proofErr w:type="gram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Особливостей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 для</w:t>
      </w:r>
      <w:proofErr w:type="gram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переможця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торгів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(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юридичних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та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фізичних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proofErr w:type="spellStart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осіб</w:t>
      </w:r>
      <w:proofErr w:type="spellEnd"/>
      <w:r w:rsidRPr="00933A24">
        <w:rPr>
          <w:rFonts w:ascii="Times New Roman" w:eastAsia="Arial" w:hAnsi="Times New Roman" w:cs="Times New Roman"/>
          <w:b/>
          <w:bCs/>
          <w:sz w:val="23"/>
          <w:szCs w:val="23"/>
          <w:lang w:val="ru-RU" w:eastAsia="ru-RU"/>
        </w:rPr>
        <w:t>)</w:t>
      </w:r>
    </w:p>
    <w:p w:rsidR="00933A24" w:rsidRDefault="00933A24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val="ru-RU"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87"/>
        <w:gridCol w:w="5794"/>
      </w:tblGrid>
      <w:tr w:rsidR="00933A24" w:rsidRPr="00933A24" w:rsidTr="00982FCF">
        <w:tc>
          <w:tcPr>
            <w:tcW w:w="709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№ з/п</w:t>
            </w:r>
          </w:p>
        </w:tc>
        <w:tc>
          <w:tcPr>
            <w:tcW w:w="3987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zh-CN" w:bidi="hi-IN"/>
              </w:rPr>
            </w:pP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Підстава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для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відмови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учаснику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участі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процедурі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відповідно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до п.47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</w:p>
        </w:tc>
        <w:tc>
          <w:tcPr>
            <w:tcW w:w="5794" w:type="dxa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</w:pP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Переможець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у строк,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перевищує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чотири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дні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дати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оприлюднення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електронній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системі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закупівель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повідомлення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намір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укласти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договір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, повинен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надати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замовнику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шляхом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оприлюднення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електронній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системі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закупівель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документи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підтверджують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підстав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зазначених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підпунктах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3, 5, 6 </w:t>
            </w:r>
            <w:r w:rsidR="003370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і </w:t>
            </w:r>
            <w:proofErr w:type="gramStart"/>
            <w:r w:rsidR="003370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12 </w:t>
            </w:r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пункту</w:t>
            </w:r>
            <w:proofErr w:type="gram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 47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</w:p>
        </w:tc>
      </w:tr>
      <w:tr w:rsidR="00933A24" w:rsidRPr="00933A24" w:rsidTr="00982FCF">
        <w:tc>
          <w:tcPr>
            <w:tcW w:w="709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1. </w:t>
            </w:r>
          </w:p>
        </w:tc>
        <w:tc>
          <w:tcPr>
            <w:tcW w:w="3987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Керівника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фізичну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особу</w:t>
            </w: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яка є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було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притягнуто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згідно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із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gram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законом  </w:t>
            </w: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lastRenderedPageBreak/>
              <w:t>до</w:t>
            </w:r>
            <w:proofErr w:type="gram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вчинення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корупційного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пов’язаного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корупцією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; </w:t>
            </w:r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(п/пункт 3 п.47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).</w:t>
            </w:r>
          </w:p>
        </w:tc>
        <w:tc>
          <w:tcPr>
            <w:tcW w:w="5794" w:type="dxa"/>
          </w:tcPr>
          <w:p w:rsidR="00933A24" w:rsidRPr="00933A24" w:rsidRDefault="00933A24" w:rsidP="00933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lastRenderedPageBreak/>
              <w:t xml:space="preserve">На момент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оприлюднення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оголошення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проведення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відкритих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торгів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доступ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Єдиного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державного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реєстру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осіб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які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вчинили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корупційні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пов’язані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корупцією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є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обмеженим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, </w:t>
            </w:r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lastRenderedPageBreak/>
              <w:t xml:space="preserve">тому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відповідно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до пункту 47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переможець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має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надати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>витяг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>довідку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>Єдиного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 xml:space="preserve"> державного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>реєстру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zh-CN" w:bidi="hi-IN"/>
              </w:rPr>
              <w:t>осіб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які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вчинили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корупційні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про те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керівника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під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час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проведення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фізичну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особу, яка є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учасником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, не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було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притягнуто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згідно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із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законом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вчинення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корупційного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пов’язаного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>корупцією</w:t>
            </w:r>
            <w:proofErr w:type="spellEnd"/>
            <w:r w:rsidRPr="00933A2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  <w:t xml:space="preserve"> . </w:t>
            </w:r>
          </w:p>
          <w:p w:rsidR="00933A24" w:rsidRPr="00933A24" w:rsidRDefault="00933A24" w:rsidP="009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Єдиний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вчинили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корупційні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буде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доступний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перевіряється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33A24" w:rsidRPr="00933A24" w:rsidRDefault="00933A24" w:rsidP="00933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Документ повинен бути не більше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тридцятиденної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давнини від дати подання документа. </w:t>
            </w:r>
          </w:p>
        </w:tc>
      </w:tr>
      <w:tr w:rsidR="00933A24" w:rsidRPr="00933A24" w:rsidTr="00982FCF">
        <w:tc>
          <w:tcPr>
            <w:tcW w:w="709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lastRenderedPageBreak/>
              <w:t>2.</w:t>
            </w:r>
          </w:p>
        </w:tc>
        <w:tc>
          <w:tcPr>
            <w:tcW w:w="3987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Фізична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особа</w:t>
            </w: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яка є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була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засуджена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кримінальне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вчинене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корисливих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мотивів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зокрема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пов’язане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хабарництвом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відмиванням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коштів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),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судимість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якої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знято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не погашено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встановленому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законом порядку </w:t>
            </w:r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(п/пункт 5 п.47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).</w:t>
            </w:r>
          </w:p>
        </w:tc>
        <w:tc>
          <w:tcPr>
            <w:tcW w:w="5794" w:type="dxa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Повний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витяг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інформаційно-аналітичної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Облік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відомостей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особи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наявності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»</w:t>
            </w: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сформований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паперовій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електронній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містить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інформацію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обмежень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кримінальним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процесуальним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законодавством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щодо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фізичної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особи, яка є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.</w:t>
            </w:r>
          </w:p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(</w:t>
            </w:r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Наказом МВС № 207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30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березня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2022 року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була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скасована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видача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Довідок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МВС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було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встановлено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довідки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наявність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)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обмежень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процесуальним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законодавством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видаються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витягів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інформаційно-аналітичної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Облік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відомостей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особи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наявності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».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Спосіб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отримання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: шляхом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електронного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запиту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сайті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МВС.)</w:t>
            </w:r>
          </w:p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Документ повинен бути не більше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тридцятиденної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давнини від дати подання документа</w:t>
            </w:r>
          </w:p>
        </w:tc>
      </w:tr>
      <w:tr w:rsidR="00933A24" w:rsidRPr="00933A24" w:rsidTr="00982FCF">
        <w:tc>
          <w:tcPr>
            <w:tcW w:w="709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3.</w:t>
            </w:r>
          </w:p>
        </w:tc>
        <w:tc>
          <w:tcPr>
            <w:tcW w:w="3987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proofErr w:type="spellStart"/>
            <w:proofErr w:type="gram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керівник</w:t>
            </w:r>
            <w:proofErr w:type="spellEnd"/>
            <w:proofErr w:type="gram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був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засуджений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кримінальне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вчинене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корисливих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мотивів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зокрема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пов’язане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хабарництвом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шахрайством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відмиванням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коштів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),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судимість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якого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знято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не погашено в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установленому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законом порядку </w:t>
            </w:r>
            <w:r w:rsidRPr="00933A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zh-CN" w:bidi="hi-IN"/>
              </w:rPr>
              <w:t xml:space="preserve">(п/пункт 6 п.47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zh-CN" w:bidi="hi-IN"/>
              </w:rPr>
              <w:t>)</w:t>
            </w:r>
          </w:p>
        </w:tc>
        <w:tc>
          <w:tcPr>
            <w:tcW w:w="5794" w:type="dxa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Повний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витяг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інформаційно-аналітичної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Облік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відомостей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особи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наявності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»</w:t>
            </w: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сформований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паперовій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електронній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містить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інформацію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обмежень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кримінальним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процесуальним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законодавством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щодо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керівника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proofErr w:type="gram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. </w:t>
            </w:r>
          </w:p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(Наказом МВС № 207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30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березня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2022 року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була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скасована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видача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Довідок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МВС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було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встановлено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довідки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наявність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)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обмежень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процесуальним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законодавством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видаються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витягів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інформаційно-аналітичної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Облік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відомостей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особи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наявності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».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Спосіб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lastRenderedPageBreak/>
              <w:t>отримання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: шляхом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електронного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запиту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сайті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МВС.)</w:t>
            </w:r>
          </w:p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Документ повинен бути не більше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тридцятиденної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давнини від дати подання документа</w:t>
            </w:r>
          </w:p>
        </w:tc>
      </w:tr>
      <w:tr w:rsidR="00933A24" w:rsidRPr="00933A24" w:rsidTr="00982FCF">
        <w:tc>
          <w:tcPr>
            <w:tcW w:w="709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lastRenderedPageBreak/>
              <w:t>4.</w:t>
            </w:r>
          </w:p>
        </w:tc>
        <w:tc>
          <w:tcPr>
            <w:tcW w:w="3987" w:type="dxa"/>
            <w:shd w:val="clear" w:color="auto" w:fill="auto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proofErr w:type="spellStart"/>
            <w:proofErr w:type="gram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керівника</w:t>
            </w:r>
            <w:proofErr w:type="spellEnd"/>
            <w:proofErr w:type="gram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фізичну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особу</w:t>
            </w:r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яка є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було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притягнуто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згідно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із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законом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вчинення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правопорушення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пов’язаного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використанням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дитячої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праці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чи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будь-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якими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формами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торгівлі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людьми. </w:t>
            </w:r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(</w:t>
            </w:r>
            <w:proofErr w:type="gram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 xml:space="preserve">/пункт 12 п.47 </w:t>
            </w:r>
            <w:proofErr w:type="spellStart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)</w:t>
            </w:r>
          </w:p>
        </w:tc>
        <w:tc>
          <w:tcPr>
            <w:tcW w:w="5794" w:type="dxa"/>
          </w:tcPr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</w:pP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Повний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витяг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інформаційно-аналітичної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Облік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відомостей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особи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наявності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 w:bidi="hi-IN"/>
              </w:rPr>
              <w:t xml:space="preserve">»,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сформований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паперовій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електронній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містить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інформацію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обмежень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кримінальним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процесуальним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законодавством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щодо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керівника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фізичної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особи яка є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учасником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.</w:t>
            </w:r>
            <w:proofErr w:type="gramEnd"/>
            <w:r w:rsidRPr="00933A2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</w:p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(Наказом МВС № 207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30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березня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2022 року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була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скасована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видача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Довідок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МВС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було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встановлено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довідки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відсутність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наявність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)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обмежень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процесуальним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законодавством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видаються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витягів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інформаційно-аналітичної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Облік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відомостей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притягнення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особи до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кримінальної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наявності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судимості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».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Спосіб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отримання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: шляхом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електронного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запиту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>сайті</w:t>
            </w:r>
            <w:proofErr w:type="spellEnd"/>
            <w:r w:rsidRPr="00933A2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zh-CN" w:bidi="hi-IN"/>
              </w:rPr>
              <w:t xml:space="preserve"> МВС.)</w:t>
            </w:r>
          </w:p>
          <w:p w:rsidR="00933A24" w:rsidRPr="00933A24" w:rsidRDefault="00933A24" w:rsidP="00933A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hi-IN"/>
              </w:rPr>
            </w:pPr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Документ повинен бути не більше </w:t>
            </w:r>
            <w:proofErr w:type="spellStart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тридцятиденної</w:t>
            </w:r>
            <w:proofErr w:type="spellEnd"/>
            <w:r w:rsidRPr="00933A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давнини від дати подання документа.</w:t>
            </w:r>
          </w:p>
        </w:tc>
      </w:tr>
    </w:tbl>
    <w:p w:rsidR="00933A24" w:rsidRPr="00933A24" w:rsidRDefault="00933A24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val="ru-RU" w:eastAsia="ru-RU"/>
        </w:rPr>
      </w:pPr>
      <w:bookmarkStart w:id="0" w:name="_GoBack"/>
      <w:bookmarkEnd w:id="0"/>
    </w:p>
    <w:p w:rsidR="00933A24" w:rsidRDefault="00933A24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eastAsia="ru-RU"/>
        </w:rPr>
      </w:pPr>
    </w:p>
    <w:p w:rsidR="00933A24" w:rsidRDefault="00933A24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eastAsia="ru-RU"/>
        </w:rPr>
      </w:pPr>
    </w:p>
    <w:p w:rsidR="00933A24" w:rsidRDefault="00933A24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3"/>
          <w:szCs w:val="23"/>
          <w:lang w:eastAsia="ru-RU"/>
        </w:rPr>
      </w:pPr>
    </w:p>
    <w:p w:rsidR="00643387" w:rsidRPr="00643387" w:rsidRDefault="00643387" w:rsidP="00643387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3E0468" w:rsidRDefault="003E0468"/>
    <w:sectPr w:rsidR="003E0468" w:rsidSect="007015D6"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6322F"/>
    <w:multiLevelType w:val="multilevel"/>
    <w:tmpl w:val="D6287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E"/>
    <w:rsid w:val="00014725"/>
    <w:rsid w:val="000D69FC"/>
    <w:rsid w:val="00207590"/>
    <w:rsid w:val="0033706B"/>
    <w:rsid w:val="003E0468"/>
    <w:rsid w:val="004F457F"/>
    <w:rsid w:val="00643387"/>
    <w:rsid w:val="007015D6"/>
    <w:rsid w:val="00933A24"/>
    <w:rsid w:val="00AD5D85"/>
    <w:rsid w:val="00DD753E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02BE-B9C5-4D7E-9B3C-A89B0B32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4914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2023-11-13T13:23:00Z</dcterms:created>
  <dcterms:modified xsi:type="dcterms:W3CDTF">2024-04-17T10:22:00Z</dcterms:modified>
</cp:coreProperties>
</file>