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5"/>
        <w:spacing w:before="20" w:after="20"/>
        <w:ind w:left="360" w:hanging="0"/>
        <w:jc w:val="center"/>
        <w:rPr/>
      </w:pPr>
      <w:r>
        <w:rPr>
          <w:rFonts w:cs="Times New Roman" w:ascii="Times New Roman" w:hAnsi="Times New Roman"/>
          <w:b/>
          <w:bCs/>
          <w:sz w:val="22"/>
          <w:szCs w:val="22"/>
        </w:rPr>
        <w:t xml:space="preserve">ДЕРЖАВНЕ ПІДПРИЄМСТВО «КИЇВСЬКИЙ ОБЛАСНИЙ НАУКОВО-ВИРОБНИЧИЙ ЦЕНТР СТАНДАРТИЗАЦІЇ, МЕТРОЛОГІЇ ТА СЕРТИФІКАЦІЇ» </w:t>
      </w:r>
    </w:p>
    <w:p>
      <w:pPr>
        <w:pStyle w:val="15"/>
        <w:ind w:left="360" w:firstLine="737"/>
        <w:jc w:val="center"/>
        <w:rPr/>
      </w:pPr>
      <w:r>
        <w:rPr>
          <w:rFonts w:cs="Times New Roman" w:ascii="Times New Roman" w:hAnsi="Times New Roman"/>
          <w:b/>
          <w:bCs/>
          <w:color w:val="000000"/>
          <w:sz w:val="22"/>
          <w:szCs w:val="22"/>
        </w:rPr>
        <w:t>(ДП «КИЇВОБЛСТАНДАРТМЕТРОЛОГІЯ»)</w:t>
      </w:r>
      <w:r>
        <w:rPr>
          <w:rFonts w:cs="Times New Roman" w:ascii="Times New Roman" w:hAnsi="Times New Roman"/>
          <w:b/>
          <w:color w:val="FFFFFF"/>
          <w:sz w:val="22"/>
          <w:szCs w:val="22"/>
        </w:rPr>
        <w:t>Товари</w:t>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tbl>
      <w:tblPr>
        <w:tblW w:w="4425" w:type="dxa"/>
        <w:jc w:val="left"/>
        <w:tblInd w:w="5890" w:type="dxa"/>
        <w:tblLayout w:type="fixed"/>
        <w:tblCellMar>
          <w:top w:w="0" w:type="dxa"/>
          <w:left w:w="0" w:type="dxa"/>
          <w:bottom w:w="0" w:type="dxa"/>
          <w:right w:w="0" w:type="dxa"/>
        </w:tblCellMar>
        <w:tblLook w:firstRow="1" w:noVBand="1" w:lastRow="0" w:firstColumn="1" w:lastColumn="0" w:noHBand="0" w:val="04a0"/>
      </w:tblPr>
      <w:tblGrid>
        <w:gridCol w:w="4425"/>
      </w:tblGrid>
      <w:tr>
        <w:trPr/>
        <w:tc>
          <w:tcPr>
            <w:tcW w:w="4425" w:type="dxa"/>
            <w:tcBorders/>
          </w:tcPr>
          <w:p>
            <w:pPr>
              <w:pStyle w:val="Style36"/>
              <w:widowControl w:val="false"/>
              <w:rPr>
                <w:sz w:val="22"/>
                <w:szCs w:val="22"/>
              </w:rPr>
            </w:pPr>
            <w:r>
              <w:rPr>
                <w:sz w:val="22"/>
                <w:szCs w:val="22"/>
                <w:lang w:val="uk-UA"/>
              </w:rPr>
              <w:t>ЗАТВЕРДЖЕНО:</w:t>
            </w:r>
          </w:p>
          <w:p>
            <w:pPr>
              <w:pStyle w:val="Style36"/>
              <w:widowControl w:val="false"/>
              <w:rPr>
                <w:sz w:val="22"/>
                <w:szCs w:val="22"/>
              </w:rPr>
            </w:pPr>
            <w:r>
              <w:rPr>
                <w:sz w:val="22"/>
                <w:szCs w:val="22"/>
                <w:lang w:val="uk-UA"/>
              </w:rPr>
              <w:t>Протоколом щодо прийняття рішення уповноваженою особою</w:t>
            </w:r>
          </w:p>
          <w:p>
            <w:pPr>
              <w:pStyle w:val="Style36"/>
              <w:widowControl w:val="false"/>
              <w:ind w:left="-227" w:hanging="0"/>
              <w:rPr>
                <w:sz w:val="22"/>
                <w:szCs w:val="22"/>
                <w:lang w:val="uk-UA"/>
              </w:rPr>
            </w:pPr>
            <w:r>
              <w:rPr>
                <w:sz w:val="22"/>
                <w:szCs w:val="22"/>
                <w:lang w:val="uk-UA"/>
              </w:rPr>
            </w:r>
          </w:p>
          <w:p>
            <w:pPr>
              <w:pStyle w:val="Style36"/>
              <w:widowControl w:val="false"/>
              <w:ind w:right="340" w:hanging="0"/>
              <w:rPr>
                <w:sz w:val="22"/>
                <w:szCs w:val="22"/>
              </w:rPr>
            </w:pPr>
            <w:r>
              <w:rPr>
                <w:sz w:val="22"/>
                <w:szCs w:val="22"/>
                <w:lang w:val="uk-UA"/>
              </w:rPr>
              <w:t xml:space="preserve">від “ 30 ” </w:t>
            </w:r>
            <w:r>
              <w:rPr>
                <w:rFonts w:eastAsia="Calibri" w:cs="Times New Roman" w:eastAsiaTheme="minorHAnsi"/>
                <w:color w:val="auto"/>
                <w:kern w:val="0"/>
                <w:sz w:val="22"/>
                <w:szCs w:val="22"/>
                <w:lang w:val="uk-UA" w:eastAsia="en-US" w:bidi="ar-SA"/>
              </w:rPr>
              <w:t>січня</w:t>
            </w:r>
            <w:r>
              <w:rPr>
                <w:sz w:val="22"/>
                <w:szCs w:val="22"/>
                <w:lang w:val="uk-UA"/>
              </w:rPr>
              <w:t xml:space="preserve"> 2023 р. №15</w:t>
            </w:r>
          </w:p>
          <w:p>
            <w:pPr>
              <w:pStyle w:val="Style36"/>
              <w:widowControl w:val="false"/>
              <w:rPr>
                <w:sz w:val="22"/>
                <w:szCs w:val="22"/>
                <w:lang w:val="uk-UA"/>
              </w:rPr>
            </w:pPr>
            <w:r>
              <w:rPr>
                <w:sz w:val="22"/>
                <w:szCs w:val="22"/>
                <w:lang w:val="uk-UA"/>
              </w:rPr>
            </w:r>
          </w:p>
        </w:tc>
      </w:tr>
    </w:tbl>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rPr/>
      </w:pPr>
      <w:r>
        <w:rPr/>
      </w:r>
    </w:p>
    <w:p>
      <w:pPr>
        <w:pStyle w:val="Normal"/>
        <w:keepNext w:val="true"/>
        <w:keepLines/>
        <w:ind w:right="1" w:hanging="0"/>
        <w:jc w:val="center"/>
        <w:rPr/>
      </w:pPr>
      <w:r>
        <w:rPr>
          <w:rFonts w:eastAsia="Times New Roman"/>
          <w:b/>
          <w:sz w:val="24"/>
          <w:szCs w:val="24"/>
        </w:rPr>
        <w:t>ТЕНДЕРНА ДОКУМЕНТАЦІЯ</w:t>
      </w:r>
    </w:p>
    <w:p>
      <w:pPr>
        <w:pStyle w:val="Normal"/>
        <w:keepNext w:val="true"/>
        <w:keepLines/>
        <w:ind w:right="1" w:hanging="0"/>
        <w:jc w:val="center"/>
        <w:rPr/>
      </w:pPr>
      <w:r>
        <w:rPr>
          <w:rFonts w:eastAsia="Times New Roman"/>
          <w:b/>
          <w:sz w:val="24"/>
          <w:szCs w:val="24"/>
        </w:rPr>
        <w:t>НА ЗАКУПІВЛЮ:</w:t>
      </w:r>
    </w:p>
    <w:p>
      <w:pPr>
        <w:pStyle w:val="Normal"/>
        <w:rPr>
          <w:rFonts w:eastAsia="Times New Roman"/>
          <w:b/>
          <w:b/>
          <w:sz w:val="24"/>
          <w:szCs w:val="24"/>
        </w:rPr>
      </w:pPr>
      <w:r>
        <w:rPr>
          <w:rFonts w:eastAsia="Times New Roman"/>
          <w:b/>
          <w:sz w:val="24"/>
          <w:szCs w:val="24"/>
        </w:rPr>
      </w:r>
    </w:p>
    <w:p>
      <w:pPr>
        <w:pStyle w:val="Normal"/>
        <w:jc w:val="center"/>
        <w:rPr/>
      </w:pPr>
      <w:r>
        <w:rPr>
          <w:bCs/>
          <w:sz w:val="24"/>
          <w:szCs w:val="24"/>
        </w:rPr>
        <w:t>Предмет закупівлі:</w:t>
      </w:r>
    </w:p>
    <w:p>
      <w:pPr>
        <w:pStyle w:val="Normal"/>
        <w:jc w:val="center"/>
        <w:rPr>
          <w:bCs/>
          <w:sz w:val="24"/>
          <w:szCs w:val="24"/>
        </w:rPr>
      </w:pPr>
      <w:r>
        <w:rPr>
          <w:bCs/>
          <w:sz w:val="24"/>
          <w:szCs w:val="24"/>
        </w:rPr>
      </w:r>
    </w:p>
    <w:p>
      <w:pPr>
        <w:pStyle w:val="Tbltxt"/>
        <w:widowControl w:val="false"/>
        <w:snapToGrid w:val="false"/>
        <w:spacing w:before="0" w:after="0"/>
        <w:ind w:left="-7" w:right="9" w:hanging="0"/>
        <w:jc w:val="center"/>
        <w:rPr/>
      </w:pPr>
      <w:r>
        <w:rPr>
          <w:rStyle w:val="Style7"/>
          <w:rFonts w:eastAsia="Tahoma"/>
          <w:b/>
          <w:bCs/>
          <w:color w:val="000000"/>
          <w:sz w:val="28"/>
          <w:u w:val="none"/>
          <w:lang w:val="uk-UA" w:eastAsia="uk-UA"/>
        </w:rPr>
        <w:t xml:space="preserve">Послуги з калібрування засобів вимірювальної техніки  </w:t>
      </w:r>
    </w:p>
    <w:p>
      <w:pPr>
        <w:pStyle w:val="Tbltxt"/>
        <w:widowControl w:val="false"/>
        <w:snapToGrid w:val="false"/>
        <w:spacing w:before="0" w:after="0"/>
        <w:ind w:left="-7" w:right="9" w:hanging="0"/>
        <w:jc w:val="center"/>
        <w:rPr>
          <w:rStyle w:val="Style7"/>
          <w:rFonts w:eastAsia="Tahoma"/>
          <w:b/>
          <w:b/>
          <w:bCs/>
          <w:color w:val="000000"/>
          <w:sz w:val="28"/>
          <w:u w:val="none"/>
          <w:lang w:val="uk-UA" w:eastAsia="uk-UA"/>
        </w:rPr>
      </w:pPr>
      <w:r>
        <w:rPr>
          <w:rStyle w:val="Style7"/>
          <w:rFonts w:eastAsia="Tahoma"/>
          <w:b/>
          <w:bCs/>
          <w:color w:val="000000"/>
          <w:sz w:val="28"/>
          <w:u w:val="none"/>
          <w:lang w:val="uk-UA" w:eastAsia="uk-UA"/>
        </w:rPr>
        <w:t>Код ДК 021:2015 50430000-8 Послуги з ремонтування і технічного обслуговування високоточного обладнання</w:t>
      </w:r>
    </w:p>
    <w:p>
      <w:pPr>
        <w:pStyle w:val="Tbltxt"/>
        <w:widowControl w:val="false"/>
        <w:bidi w:val="0"/>
        <w:snapToGrid w:val="false"/>
        <w:spacing w:lineRule="auto" w:line="240" w:before="0" w:after="0"/>
        <w:ind w:left="-7" w:right="9" w:hanging="0"/>
        <w:jc w:val="center"/>
        <w:textAlignment w:val="auto"/>
        <w:rPr>
          <w:sz w:val="24"/>
          <w:szCs w:val="24"/>
        </w:rPr>
      </w:pPr>
      <w:r>
        <w:rPr>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b/>
          <w:b/>
          <w:smallCaps/>
          <w:sz w:val="24"/>
          <w:szCs w:val="24"/>
        </w:rPr>
      </w:pPr>
      <w:r>
        <w:rPr>
          <w:rFonts w:eastAsia="Times New Roman"/>
          <w:b/>
          <w:smallCaps/>
          <w:sz w:val="24"/>
          <w:szCs w:val="24"/>
        </w:rPr>
      </w:r>
    </w:p>
    <w:p>
      <w:pPr>
        <w:pStyle w:val="Normal"/>
        <w:ind w:left="320" w:firstLine="737"/>
        <w:jc w:val="center"/>
        <w:rPr/>
      </w:pPr>
      <w:r>
        <w:rPr>
          <w:b/>
          <w:bCs/>
          <w:sz w:val="24"/>
          <w:szCs w:val="24"/>
        </w:rPr>
        <w:t xml:space="preserve">Процедура закупівлі: відкриті торги </w:t>
      </w:r>
      <w:r>
        <w:rPr>
          <w:b/>
          <w:bCs/>
          <w:sz w:val="24"/>
          <w:szCs w:val="24"/>
          <w:lang w:val="uk-UA"/>
        </w:rPr>
        <w:t>з особливостями</w:t>
      </w:r>
    </w:p>
    <w:p>
      <w:pPr>
        <w:pStyle w:val="15"/>
        <w:ind w:left="32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pStyle w:val="15"/>
        <w:ind w:left="360" w:firstLine="737"/>
        <w:jc w:val="center"/>
        <w:rPr>
          <w:rFonts w:ascii="Times New Roman" w:hAnsi="Times New Roman" w:cs="Times New Roman"/>
          <w:b/>
          <w:b/>
          <w:bCs/>
          <w:sz w:val="22"/>
          <w:szCs w:val="22"/>
        </w:rPr>
      </w:pPr>
      <w:r>
        <w:rPr>
          <w:rFonts w:cs="Times New Roman" w:ascii="Times New Roman" w:hAnsi="Times New Roman"/>
          <w:b/>
          <w:bCs/>
          <w:sz w:val="22"/>
          <w:szCs w:val="22"/>
        </w:rPr>
      </w:r>
    </w:p>
    <w:p>
      <w:pPr>
        <w:sectPr>
          <w:type w:val="nextPage"/>
          <w:pgSz w:w="11906" w:h="16838"/>
          <w:pgMar w:left="975" w:right="556" w:header="0" w:top="993" w:footer="0" w:bottom="1134" w:gutter="0"/>
          <w:pgNumType w:fmt="decimal"/>
          <w:formProt w:val="false"/>
          <w:textDirection w:val="lrTb"/>
          <w:docGrid w:type="default" w:linePitch="360" w:charSpace="0"/>
        </w:sectPr>
        <w:pStyle w:val="15"/>
        <w:ind w:left="360" w:firstLine="737"/>
        <w:jc w:val="center"/>
        <w:rPr/>
      </w:pPr>
      <w:r>
        <w:rPr>
          <w:rFonts w:cs="Times New Roman" w:ascii="Times New Roman" w:hAnsi="Times New Roman"/>
          <w:b/>
          <w:bCs/>
          <w:sz w:val="22"/>
          <w:szCs w:val="22"/>
        </w:rPr>
        <w:t>м. Біла Церква – 2023</w:t>
      </w:r>
    </w:p>
    <w:p>
      <w:pPr>
        <w:pStyle w:val="15"/>
        <w:tabs>
          <w:tab w:val="clear" w:pos="720"/>
          <w:tab w:val="left" w:pos="0" w:leader="none"/>
        </w:tabs>
        <w:ind w:right="-25" w:firstLine="737"/>
        <w:rPr>
          <w:rFonts w:ascii="Times New Roman" w:hAnsi="Times New Roman" w:cs="Times New Roman"/>
          <w:bCs/>
          <w:color w:val="000000"/>
          <w:sz w:val="22"/>
          <w:szCs w:val="22"/>
        </w:rPr>
      </w:pPr>
      <w:r>
        <w:rPr>
          <w:rFonts w:cs="Times New Roman" w:ascii="Times New Roman" w:hAnsi="Times New Roman"/>
          <w:bCs/>
          <w:color w:val="000000"/>
          <w:sz w:val="22"/>
          <w:szCs w:val="22"/>
        </w:rPr>
      </w:r>
    </w:p>
    <w:tbl>
      <w:tblPr>
        <w:tblW w:w="10323" w:type="dxa"/>
        <w:jc w:val="left"/>
        <w:tblInd w:w="-156" w:type="dxa"/>
        <w:tblLayout w:type="fixed"/>
        <w:tblCellMar>
          <w:top w:w="0" w:type="dxa"/>
          <w:left w:w="7" w:type="dxa"/>
          <w:bottom w:w="0" w:type="dxa"/>
          <w:right w:w="7" w:type="dxa"/>
        </w:tblCellMar>
        <w:tblLook w:firstRow="1" w:noVBand="0" w:lastRow="0" w:firstColumn="1" w:lastColumn="0" w:noHBand="0" w:val="00a0"/>
      </w:tblPr>
      <w:tblGrid>
        <w:gridCol w:w="1023"/>
        <w:gridCol w:w="2828"/>
        <w:gridCol w:w="6472"/>
      </w:tblGrid>
      <w:tr>
        <w:trPr>
          <w:trHeight w:val="371" w:hRule="atLeast"/>
        </w:trPr>
        <w:tc>
          <w:tcPr>
            <w:tcW w:w="10323" w:type="dxa"/>
            <w:gridSpan w:val="3"/>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737"/>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t>Загальні положення</w:t>
            </w:r>
          </w:p>
        </w:tc>
      </w:tr>
      <w:tr>
        <w:trPr>
          <w:trHeight w:val="152"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737"/>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737"/>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r>
      <w:tr>
        <w:trPr>
          <w:trHeight w:val="1121" w:hRule="atLeast"/>
        </w:trPr>
        <w:tc>
          <w:tcPr>
            <w:tcW w:w="1023" w:type="dxa"/>
            <w:tcBorders>
              <w:top w:val="single" w:sz="6" w:space="0" w:color="000000"/>
              <w:left w:val="single" w:sz="6" w:space="0" w:color="000000"/>
              <w:bottom w:val="single" w:sz="6" w:space="0" w:color="000000"/>
              <w:right w:val="single" w:sz="6" w:space="0" w:color="000000"/>
            </w:tcBorders>
          </w:tcPr>
          <w:p>
            <w:pPr>
              <w:pStyle w:val="16"/>
              <w:widowControl w:val="false"/>
              <w:ind w:left="113" w:right="510" w:firstLine="737"/>
              <w:rPr>
                <w:rFonts w:ascii="Times New Roman" w:hAnsi="Times New Roman"/>
                <w:b/>
                <w:b/>
                <w:lang w:eastAsia="uk-UA"/>
              </w:rPr>
            </w:pPr>
            <w:r>
              <w:rPr>
                <w:rFonts w:ascii="Times New Roman" w:hAnsi="Times New Roman"/>
                <w:b/>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6"/>
              <w:widowControl w:val="false"/>
              <w:ind w:left="113" w:right="113" w:firstLine="57"/>
              <w:rPr>
                <w:rFonts w:ascii="Times New Roman" w:hAnsi="Times New Roman"/>
                <w:b/>
                <w:b/>
                <w:lang w:eastAsia="uk-UA"/>
              </w:rPr>
            </w:pPr>
            <w:r>
              <w:rPr>
                <w:rFonts w:ascii="Times New Roman" w:hAnsi="Times New Roman"/>
                <w:b/>
                <w:lang w:eastAsia="uk-UA"/>
              </w:rPr>
              <w:t>Терміни, які вживаються в тендерній документації</w:t>
            </w:r>
          </w:p>
        </w:tc>
        <w:tc>
          <w:tcPr>
            <w:tcW w:w="6472" w:type="dxa"/>
            <w:tcBorders>
              <w:top w:val="single" w:sz="6" w:space="0" w:color="000000"/>
              <w:left w:val="single" w:sz="6" w:space="0" w:color="000000"/>
              <w:bottom w:val="single" w:sz="6" w:space="0" w:color="000000"/>
              <w:right w:val="single" w:sz="6" w:space="0" w:color="000000"/>
            </w:tcBorders>
          </w:tcPr>
          <w:p>
            <w:pPr>
              <w:pStyle w:val="16"/>
              <w:widowControl w:val="false"/>
              <w:ind w:left="113" w:right="113" w:firstLine="737"/>
              <w:jc w:val="both"/>
              <w:rPr/>
            </w:pPr>
            <w:r>
              <w:rPr>
                <w:rFonts w:ascii="Times New Roman" w:hAnsi="Times New Roman"/>
                <w:sz w:val="22"/>
                <w:szCs w:val="22"/>
                <w:lang w:eastAsia="uk-UA"/>
              </w:rPr>
              <w:t xml:space="preserve">Тендерна документація розроблена на виконання вимог </w:t>
            </w:r>
            <w:hyperlink r:id="rId2" w:tgtFrame="_blank">
              <w:r>
                <w:rPr>
                  <w:rFonts w:ascii="Times New Roman" w:hAnsi="Times New Roman"/>
                  <w:sz w:val="22"/>
                  <w:szCs w:val="22"/>
                  <w:lang w:eastAsia="uk-UA"/>
                </w:rPr>
                <w:t>Закону</w:t>
              </w:r>
            </w:hyperlink>
            <w:r>
              <w:rPr>
                <w:rFonts w:ascii="Times New Roman" w:hAnsi="Times New Roman"/>
                <w:sz w:val="22"/>
                <w:szCs w:val="22"/>
                <w:lang w:eastAsia="uk-UA"/>
              </w:rPr>
              <w:t xml:space="preserve">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(з врахуванням змін). Терміни вживаються у значенні, наведеному в Законі </w:t>
            </w:r>
            <w:r>
              <w:rPr>
                <w:rFonts w:ascii="Times New Roman" w:hAnsi="Times New Roman"/>
                <w:color w:val="000000" w:themeColor="text1"/>
                <w:sz w:val="22"/>
                <w:szCs w:val="22"/>
                <w:lang w:eastAsia="uk-UA"/>
              </w:rPr>
              <w:t>та інших нормативних документів чинного законодавства України у сфері публічних закупівель</w:t>
            </w:r>
            <w:r>
              <w:rPr>
                <w:rFonts w:ascii="Times New Roman" w:hAnsi="Times New Roman"/>
                <w:sz w:val="22"/>
                <w:szCs w:val="22"/>
                <w:lang w:eastAsia="uk-UA"/>
              </w:rPr>
              <w:t xml:space="preserve"> .</w:t>
            </w:r>
          </w:p>
        </w:tc>
      </w:tr>
      <w:tr>
        <w:trPr>
          <w:trHeight w:val="646"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510" w:firstLine="737"/>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Інформація про замовника торгів</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rFonts w:ascii="Times New Roman" w:hAnsi="Times New Roman" w:cs="Times New Roman"/>
                <w:sz w:val="22"/>
                <w:szCs w:val="22"/>
                <w:lang w:eastAsia="uk-UA"/>
              </w:rPr>
            </w:pPr>
            <w:r>
              <w:rPr>
                <w:rFonts w:cs="Times New Roman" w:ascii="Times New Roman" w:hAnsi="Times New Roman"/>
                <w:sz w:val="22"/>
                <w:szCs w:val="22"/>
                <w:lang w:eastAsia="uk-UA"/>
              </w:rPr>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tabs>
                <w:tab w:val="clear" w:pos="720"/>
                <w:tab w:val="left" w:pos="165" w:leader="none"/>
              </w:tabs>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повне найменування</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50" w:hanging="0"/>
              <w:rPr>
                <w:rFonts w:ascii="Times New Roman" w:hAnsi="Times New Roman" w:cs="Times New Roman"/>
                <w:sz w:val="22"/>
                <w:szCs w:val="22"/>
              </w:rPr>
            </w:pPr>
            <w:r>
              <w:rPr>
                <w:rFonts w:cs="Times New Roman" w:ascii="Times New Roman" w:hAnsi="Times New Roman"/>
                <w:color w:val="000000"/>
                <w:sz w:val="22"/>
                <w:szCs w:val="22"/>
                <w:lang w:eastAsia="en-US" w:bidi="ar-SA"/>
              </w:rPr>
              <w:t>ДЕРЖАВНЕ ПІДПРИЄМСТВО “КИЇВСЬКИЙ ОБЛАСНИЙ НАУКОВО-ВИРОБНИЧИЙ ЦЕНТР СТАНДАРТИЗАЦІЇ, МЕТРОЛОГІЇ ТА  СЕРТИФІКАЦІЇ”» (ДП «КИЇВОБЛСТАНДАРТМЕТРОЛОГІЯ»)</w:t>
            </w:r>
          </w:p>
        </w:tc>
      </w:tr>
      <w:tr>
        <w:trPr>
          <w:trHeight w:val="632"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місцезнаходження</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sz w:val="22"/>
                <w:szCs w:val="22"/>
              </w:rPr>
            </w:pPr>
            <w:r>
              <w:rPr>
                <w:rFonts w:cs="Times New Roman" w:ascii="Times New Roman" w:hAnsi="Times New Roman"/>
                <w:sz w:val="22"/>
                <w:szCs w:val="22"/>
                <w:lang w:val="ru-RU" w:eastAsia="en-US" w:bidi="ar-SA"/>
              </w:rPr>
              <w:t xml:space="preserve">09113, Київська область, місто Біла Церква, вулиця </w:t>
            </w:r>
            <w:r>
              <w:rPr>
                <w:rFonts w:cs="Times New Roman" w:ascii="Times New Roman" w:hAnsi="Times New Roman"/>
                <w:sz w:val="22"/>
                <w:szCs w:val="22"/>
                <w:lang w:eastAsia="en-US" w:bidi="ar-SA"/>
              </w:rPr>
              <w:t>С</w:t>
            </w:r>
            <w:r>
              <w:rPr>
                <w:rFonts w:cs="Times New Roman" w:ascii="Times New Roman" w:hAnsi="Times New Roman"/>
                <w:sz w:val="22"/>
                <w:szCs w:val="22"/>
                <w:lang w:val="ru-RU" w:eastAsia="en-US" w:bidi="ar-SA"/>
              </w:rPr>
              <w:t>ічневого прори</w:t>
            </w:r>
            <w:r>
              <w:rPr>
                <w:rFonts w:cs="Times New Roman" w:ascii="Times New Roman" w:hAnsi="Times New Roman"/>
                <w:sz w:val="22"/>
                <w:szCs w:val="22"/>
                <w:lang w:eastAsia="en-US" w:bidi="ar-SA"/>
              </w:rPr>
              <w:t>ву</w:t>
            </w:r>
            <w:r>
              <w:rPr>
                <w:rFonts w:cs="Times New Roman" w:ascii="Times New Roman" w:hAnsi="Times New Roman"/>
                <w:sz w:val="22"/>
                <w:szCs w:val="22"/>
                <w:lang w:val="ru-RU" w:eastAsia="en-US" w:bidi="ar-SA"/>
              </w:rPr>
              <w:t xml:space="preserve">,   будинок </w:t>
            </w:r>
            <w:r>
              <w:rPr>
                <w:rFonts w:cs="Times New Roman" w:ascii="Times New Roman" w:hAnsi="Times New Roman"/>
                <w:sz w:val="22"/>
                <w:szCs w:val="22"/>
                <w:lang w:eastAsia="en-US" w:bidi="ar-SA"/>
              </w:rPr>
              <w:t>84</w:t>
            </w:r>
          </w:p>
        </w:tc>
      </w:tr>
      <w:tr>
        <w:trPr>
          <w:trHeight w:val="2683"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color w:val="333333"/>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283"/>
              <w:jc w:val="both"/>
              <w:rPr/>
            </w:pPr>
            <w:r>
              <w:rPr>
                <w:color w:val="000000"/>
                <w:sz w:val="22"/>
                <w:szCs w:val="22"/>
                <w:lang w:val="uk-UA"/>
              </w:rPr>
              <w:t xml:space="preserve">Мошкова Вікторія Геннадіївна, уповноважена особа з публічних закупівель; тел.: +38(097)490-95-49; (04563) 4-69-93 м. Біла Церква, вул. Січневого прориву, 84;  e-mail: </w:t>
            </w:r>
            <w:hyperlink r:id="rId3">
              <w:r>
                <w:rPr>
                  <w:color w:val="000000"/>
                  <w:sz w:val="22"/>
                  <w:szCs w:val="22"/>
                  <w:lang w:val="en-US"/>
                </w:rPr>
                <w:t>v</w:t>
              </w:r>
              <w:r>
                <w:rPr>
                  <w:color w:val="000000"/>
                  <w:sz w:val="22"/>
                  <w:szCs w:val="22"/>
                  <w:lang w:val="uk-UA"/>
                </w:rPr>
                <w:t>.</w:t>
              </w:r>
              <w:r>
                <w:rPr>
                  <w:color w:val="000000"/>
                  <w:sz w:val="22"/>
                  <w:szCs w:val="22"/>
                  <w:lang w:val="en-US"/>
                </w:rPr>
                <w:t>g</w:t>
              </w:r>
              <w:r>
                <w:rPr>
                  <w:color w:val="000000"/>
                  <w:sz w:val="22"/>
                  <w:szCs w:val="22"/>
                  <w:lang w:val="uk-UA"/>
                </w:rPr>
                <w:t>.</w:t>
              </w:r>
              <w:r>
                <w:rPr>
                  <w:color w:val="000000"/>
                  <w:sz w:val="22"/>
                  <w:szCs w:val="22"/>
                  <w:lang w:val="en-US"/>
                </w:rPr>
                <w:t>moshkova</w:t>
              </w:r>
              <w:r>
                <w:rPr>
                  <w:color w:val="000000"/>
                  <w:sz w:val="22"/>
                  <w:szCs w:val="22"/>
                  <w:lang w:val="uk-UA"/>
                </w:rPr>
                <w:t>@</w:t>
              </w:r>
              <w:r>
                <w:rPr>
                  <w:color w:val="000000"/>
                  <w:sz w:val="22"/>
                  <w:szCs w:val="22"/>
                  <w:lang w:val="en-US"/>
                </w:rPr>
                <w:t>gmail</w:t>
              </w:r>
              <w:r>
                <w:rPr>
                  <w:color w:val="000000"/>
                  <w:sz w:val="22"/>
                  <w:szCs w:val="22"/>
                  <w:lang w:val="uk-UA"/>
                </w:rPr>
                <w:t>.</w:t>
              </w:r>
              <w:r>
                <w:rPr>
                  <w:color w:val="000000"/>
                  <w:sz w:val="22"/>
                  <w:szCs w:val="22"/>
                  <w:lang w:val="en-US"/>
                </w:rPr>
                <w:t>com</w:t>
              </w:r>
            </w:hyperlink>
          </w:p>
          <w:p>
            <w:pPr>
              <w:pStyle w:val="Normal"/>
              <w:widowControl w:val="false"/>
              <w:ind w:firstLine="340"/>
              <w:jc w:val="both"/>
              <w:rPr/>
            </w:pPr>
            <w:r>
              <w:rPr>
                <w:rStyle w:val="Style7"/>
                <w:rFonts w:eastAsia="Calibri" w:cs="Times New Roman"/>
                <w:color w:val="000000"/>
                <w:kern w:val="0"/>
                <w:sz w:val="22"/>
                <w:szCs w:val="22"/>
                <w:u w:val="none"/>
                <w:shd w:fill="auto" w:val="clear"/>
                <w:lang w:val="uk-UA" w:eastAsia="zh-CN" w:bidi="ar-SA"/>
              </w:rPr>
              <w:t>Ла</w:t>
            </w:r>
            <w:r>
              <w:rPr>
                <w:rStyle w:val="Style7"/>
                <w:rFonts w:eastAsia="Calibri" w:cs="Times New Roman"/>
                <w:kern w:val="0"/>
                <w:sz w:val="22"/>
                <w:szCs w:val="22"/>
                <w:shd w:fill="auto" w:val="clear"/>
                <w:lang w:val="uk-UA" w:eastAsia="zh-CN" w:bidi="ar-SA"/>
              </w:rPr>
              <w:t>з</w:t>
            </w:r>
            <w:r>
              <w:rPr>
                <w:rStyle w:val="Style7"/>
                <w:rFonts w:eastAsia="Calibri" w:cs="Times New Roman"/>
                <w:color w:val="000000"/>
                <w:kern w:val="0"/>
                <w:sz w:val="22"/>
                <w:szCs w:val="22"/>
                <w:u w:val="none"/>
                <w:shd w:fill="auto" w:val="clear"/>
                <w:lang w:val="uk-UA" w:eastAsia="zh-CN" w:bidi="ar-SA"/>
              </w:rPr>
              <w:t>аренко Сергій Леонідович</w:t>
            </w:r>
            <w:r>
              <w:rPr>
                <w:rStyle w:val="Style7"/>
                <w:rFonts w:eastAsia="Calibri"/>
                <w:color w:val="000000"/>
                <w:sz w:val="22"/>
                <w:szCs w:val="22"/>
                <w:u w:val="none"/>
                <w:shd w:fill="auto" w:val="clear"/>
                <w:lang w:val="uk-UA" w:eastAsia="zh-CN"/>
              </w:rPr>
              <w:t>, начальник відділу метрологічного забезпечення вимірювань характеристик   іонізуючих випромінювань, тел.: +38(0456)34-75-44;  м. Біла Церква, вул. Січневого прориву, 84.</w:t>
            </w:r>
          </w:p>
          <w:p>
            <w:pPr>
              <w:pStyle w:val="15"/>
              <w:widowControl w:val="false"/>
              <w:tabs>
                <w:tab w:val="clear" w:pos="720"/>
                <w:tab w:val="left" w:pos="2160" w:leader="none"/>
                <w:tab w:val="left" w:pos="3600" w:leader="none"/>
              </w:tabs>
              <w:spacing w:lineRule="auto" w:line="240" w:before="0" w:after="0"/>
              <w:ind w:firstLine="340"/>
              <w:rPr>
                <w:sz w:val="22"/>
                <w:szCs w:val="22"/>
                <w:shd w:fill="auto" w:val="clear"/>
              </w:rPr>
            </w:pPr>
            <w:r>
              <w:rPr>
                <w:rFonts w:cs="Times New Roman" w:ascii="Times New Roman" w:hAnsi="Times New Roman"/>
                <w:sz w:val="22"/>
                <w:szCs w:val="22"/>
                <w:shd w:fill="auto" w:val="clear"/>
                <w:lang w:eastAsia="uk-UA"/>
              </w:rPr>
              <w:t>З усіх питань, що пов’язані з підготовкою і подачею тендерної пропозицій учасників, можна звертатися щоденно, крім вихідних днів, з 8:30 до 12:30 та з 13:00 до 17:15 години (за київським часом).</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Процедура закупівлі</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right="113" w:firstLine="737"/>
              <w:rPr>
                <w:rFonts w:ascii="Times New Roman" w:hAnsi="Times New Roman" w:cs="Times New Roman"/>
                <w:sz w:val="22"/>
                <w:szCs w:val="22"/>
                <w:lang w:eastAsia="uk-UA"/>
              </w:rPr>
            </w:pPr>
            <w:r>
              <w:rPr>
                <w:rFonts w:cs="Times New Roman" w:ascii="Times New Roman" w:hAnsi="Times New Roman"/>
                <w:sz w:val="22"/>
                <w:szCs w:val="22"/>
                <w:lang w:eastAsia="uk-UA"/>
              </w:rPr>
              <w:t>Відкриті торги з особливостями</w:t>
            </w:r>
          </w:p>
        </w:tc>
      </w:tr>
      <w:tr>
        <w:trPr>
          <w:trHeight w:val="704"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Інформація про предмет закупівлі</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rFonts w:ascii="Times New Roman" w:hAnsi="Times New Roman" w:cs="Times New Roman"/>
                <w:sz w:val="22"/>
                <w:szCs w:val="22"/>
                <w:lang w:eastAsia="uk-UA"/>
              </w:rPr>
            </w:pPr>
            <w:r>
              <w:rPr>
                <w:rFonts w:cs="Times New Roman" w:ascii="Times New Roman" w:hAnsi="Times New Roman"/>
                <w:sz w:val="22"/>
                <w:szCs w:val="22"/>
                <w:lang w:eastAsia="uk-UA"/>
              </w:rPr>
            </w:r>
          </w:p>
        </w:tc>
      </w:tr>
      <w:tr>
        <w:trPr>
          <w:trHeight w:val="1216"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tabs>
                <w:tab w:val="clear" w:pos="720"/>
                <w:tab w:val="left" w:pos="1705" w:leader="none"/>
              </w:tabs>
              <w:spacing w:lineRule="auto" w:line="240" w:before="0" w:after="0"/>
              <w:ind w:left="113" w:right="113" w:hanging="0"/>
              <w:jc w:val="left"/>
              <w:rPr>
                <w:rFonts w:ascii="Times New Roman" w:hAnsi="Times New Roman" w:cs="Times New Roman"/>
                <w:b/>
                <w:b/>
                <w:sz w:val="22"/>
                <w:szCs w:val="22"/>
                <w:lang w:eastAsia="uk-UA"/>
              </w:rPr>
            </w:pPr>
            <w:r>
              <w:rPr>
                <w:rFonts w:cs="Times New Roman" w:ascii="Times New Roman" w:hAnsi="Times New Roman"/>
                <w:b/>
                <w:sz w:val="22"/>
                <w:szCs w:val="22"/>
                <w:lang w:eastAsia="uk-UA"/>
              </w:rPr>
              <w:t>Назва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pPr>
              <w:pStyle w:val="Tbltxt"/>
              <w:widowControl w:val="false"/>
              <w:snapToGrid w:val="false"/>
              <w:spacing w:before="0" w:after="0"/>
              <w:ind w:left="-7" w:right="9" w:hanging="0"/>
              <w:jc w:val="left"/>
              <w:rPr/>
            </w:pPr>
            <w:r>
              <w:rPr>
                <w:rStyle w:val="Style7"/>
                <w:rFonts w:eastAsia="Tahoma"/>
                <w:b w:val="false"/>
                <w:bCs w:val="false"/>
                <w:color w:val="000000"/>
                <w:sz w:val="22"/>
                <w:szCs w:val="22"/>
                <w:u w:val="none"/>
                <w:lang w:val="uk-UA" w:eastAsia="uk-UA"/>
              </w:rPr>
              <w:t>Послуги з калібрування засобів вимірювальної техніки</w:t>
            </w:r>
          </w:p>
          <w:p>
            <w:pPr>
              <w:pStyle w:val="Tbltxt"/>
              <w:widowControl w:val="false"/>
              <w:snapToGrid w:val="false"/>
              <w:spacing w:before="0" w:after="0"/>
              <w:ind w:left="-7" w:right="9" w:hanging="0"/>
              <w:jc w:val="left"/>
              <w:rPr/>
            </w:pPr>
            <w:r>
              <w:rPr>
                <w:rStyle w:val="Style7"/>
                <w:rFonts w:eastAsia="Tahoma"/>
                <w:b w:val="false"/>
                <w:bCs w:val="false"/>
                <w:color w:val="000000"/>
                <w:sz w:val="22"/>
                <w:szCs w:val="22"/>
                <w:u w:val="none"/>
                <w:lang w:val="uk-UA" w:eastAsia="uk-UA"/>
              </w:rPr>
              <w:t>Код ДК 021:2015 50430000-8 Послуги з ремонтування і технічного обслуговування високоточного обладнання</w:t>
            </w:r>
          </w:p>
        </w:tc>
      </w:tr>
      <w:tr>
        <w:trPr>
          <w:trHeight w:val="1638"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Опис окремої частини (частин) предмета закупівлі (лота), щодо якої можуть бути подані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2"/>
                <w:szCs w:val="22"/>
                <w:lang w:val="uk-UA"/>
              </w:rPr>
            </w:pPr>
            <w:r>
              <w:rPr>
                <w:sz w:val="22"/>
                <w:szCs w:val="22"/>
                <w:lang w:val="uk-UA"/>
              </w:rPr>
              <w:t>Закупівля здійснюється щодо предмету закупівлі в цілому.</w:t>
            </w:r>
          </w:p>
        </w:tc>
      </w:tr>
      <w:tr>
        <w:trPr>
          <w:trHeight w:val="1600"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r>
          </w:p>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4.3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val="ru-RU"/>
              </w:rPr>
            </w:pPr>
            <w:r>
              <w:rPr>
                <w:rFonts w:cs="Times New Roman" w:ascii="Times New Roman" w:hAnsi="Times New Roman"/>
                <w:b/>
                <w:color w:val="333333"/>
                <w:sz w:val="22"/>
                <w:szCs w:val="22"/>
                <w:lang w:val="ru-RU"/>
              </w:rPr>
              <w:t>місце, де повинні бути виконані роботи чи надані послуги, їх обсяги</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Autospacing="1" w:after="0"/>
              <w:ind w:hanging="0"/>
              <w:rPr>
                <w:sz w:val="22"/>
                <w:szCs w:val="22"/>
              </w:rPr>
            </w:pP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Місце </w:t>
            </w:r>
            <w:r>
              <w:rPr>
                <w:rFonts w:eastAsia="Times New Roman" w:cs="Times New Roman" w:ascii="Times New Roman" w:hAnsi="Times New Roman"/>
                <w:color w:val="000000"/>
                <w:kern w:val="0"/>
                <w:sz w:val="22"/>
                <w:szCs w:val="22"/>
                <w:lang w:val="uk-UA" w:eastAsia="ru-RU" w:bidi="en-US"/>
              </w:rPr>
              <w:t>надання послуг</w:t>
            </w:r>
            <w:r>
              <w:rPr>
                <w:rFonts w:cs="Times New Roman" w:ascii="Times New Roman" w:hAnsi="Times New Roman"/>
                <w:color w:val="000000"/>
                <w:sz w:val="22"/>
                <w:szCs w:val="22"/>
              </w:rPr>
              <w:t>:</w:t>
            </w:r>
            <w:r>
              <w:rPr>
                <w:rFonts w:cs="Times New Roman" w:ascii="Times New Roman" w:hAnsi="Times New Roman"/>
                <w:b w:val="false"/>
                <w:bCs w:val="false"/>
                <w:color w:val="000000"/>
                <w:sz w:val="22"/>
                <w:szCs w:val="22"/>
              </w:rPr>
              <w:t xml:space="preserve"> </w:t>
            </w:r>
            <w:r>
              <w:rPr>
                <w:rFonts w:eastAsia="Calibri" w:cs="Times New Roman" w:ascii="Times New Roman" w:hAnsi="Times New Roman"/>
                <w:b w:val="false"/>
                <w:bCs w:val="false"/>
                <w:color w:val="000000"/>
                <w:sz w:val="22"/>
                <w:szCs w:val="22"/>
                <w:lang w:eastAsia="zh-CN" w:bidi="ar-SA"/>
              </w:rPr>
              <w:t>Київська область, місто Біла Церква, вулиця Січневого Прориву, будинок 84, або в залежності від засобу вимірювальної техніки — територія виконавця.</w:t>
            </w:r>
          </w:p>
        </w:tc>
      </w:tr>
      <w:tr>
        <w:trPr/>
        <w:tc>
          <w:tcPr>
            <w:tcW w:w="1023" w:type="dxa"/>
            <w:tcBorders>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4.4</w:t>
            </w:r>
          </w:p>
        </w:tc>
        <w:tc>
          <w:tcPr>
            <w:tcW w:w="2828" w:type="dxa"/>
            <w:tcBorders>
              <w:left w:val="single" w:sz="6" w:space="0" w:color="000000"/>
              <w:bottom w:val="single" w:sz="6" w:space="0" w:color="000000"/>
              <w:right w:val="single" w:sz="6" w:space="0" w:color="000000"/>
            </w:tcBorders>
          </w:tcPr>
          <w:p>
            <w:pPr>
              <w:pStyle w:val="Normal"/>
              <w:widowControl w:val="false"/>
              <w:ind w:left="113" w:right="113" w:hanging="0"/>
              <w:rPr>
                <w:rFonts w:eastAsia="Times New Roman"/>
                <w:b/>
                <w:b/>
                <w:color w:val="000000"/>
                <w:sz w:val="22"/>
                <w:szCs w:val="22"/>
                <w:lang w:val="uk-UA" w:eastAsia="uk-UA"/>
              </w:rPr>
            </w:pPr>
            <w:r>
              <w:rPr>
                <w:rFonts w:eastAsia="Times New Roman"/>
                <w:b/>
                <w:color w:val="000000"/>
                <w:sz w:val="22"/>
                <w:szCs w:val="22"/>
                <w:lang w:val="uk-UA" w:eastAsia="uk-UA"/>
              </w:rPr>
              <w:t>Очікувана вартість предмета закупівлі</w:t>
            </w:r>
          </w:p>
        </w:tc>
        <w:tc>
          <w:tcPr>
            <w:tcW w:w="6472" w:type="dxa"/>
            <w:tcBorders>
              <w:left w:val="single" w:sz="6" w:space="0" w:color="000000"/>
              <w:bottom w:val="single" w:sz="6" w:space="0" w:color="000000"/>
              <w:right w:val="single" w:sz="6" w:space="0" w:color="000000"/>
            </w:tcBorders>
          </w:tcPr>
          <w:p>
            <w:pPr>
              <w:pStyle w:val="15"/>
              <w:widowControl w:val="false"/>
              <w:spacing w:lineRule="auto" w:line="240" w:beforeAutospacing="1" w:after="0"/>
              <w:ind w:hanging="0"/>
              <w:rPr>
                <w:b/>
                <w:b/>
                <w:bCs/>
                <w:sz w:val="22"/>
                <w:szCs w:val="22"/>
                <w:shd w:fill="auto" w:val="clear"/>
              </w:rPr>
            </w:pPr>
            <w:r>
              <w:rPr>
                <w:rFonts w:eastAsia="Times New Roman" w:cs="" w:ascii="Times New Roman" w:hAnsi="Times New Roman"/>
                <w:b/>
                <w:bCs/>
                <w:color w:val="000000"/>
                <w:kern w:val="0"/>
                <w:sz w:val="22"/>
                <w:szCs w:val="22"/>
                <w:shd w:fill="auto" w:val="clear"/>
                <w:lang w:val="uk-UA" w:eastAsia="ru-RU" w:bidi="en-US"/>
              </w:rPr>
              <w:t>644 874,00 грн. з ПДВ</w:t>
            </w:r>
            <w:r>
              <w:rPr>
                <w:rFonts w:ascii="Times New Roman" w:hAnsi="Times New Roman"/>
                <w:b/>
                <w:bCs/>
                <w:sz w:val="22"/>
                <w:szCs w:val="22"/>
                <w:shd w:fill="auto" w:val="clear"/>
              </w:rPr>
              <w:t>.</w:t>
            </w:r>
          </w:p>
          <w:p>
            <w:pPr>
              <w:pStyle w:val="Normal"/>
              <w:widowControl w:val="false"/>
              <w:jc w:val="both"/>
              <w:rPr>
                <w:sz w:val="22"/>
                <w:szCs w:val="22"/>
                <w:shd w:fill="auto" w:val="clear"/>
                <w:lang w:val="uk-UA"/>
              </w:rPr>
            </w:pPr>
            <w:r>
              <w:rPr>
                <w:color w:val="000000"/>
                <w:sz w:val="22"/>
                <w:szCs w:val="22"/>
                <w:shd w:fill="auto" w:val="clear"/>
                <w:lang w:val="uk-UA"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trPr>
          <w:trHeight w:val="901"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4.5</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val="ru-RU"/>
              </w:rPr>
            </w:pPr>
            <w:r>
              <w:rPr>
                <w:rFonts w:cs="Times New Roman" w:ascii="Times New Roman" w:hAnsi="Times New Roman"/>
                <w:b/>
                <w:color w:val="333333"/>
                <w:sz w:val="22"/>
                <w:szCs w:val="22"/>
                <w:lang w:val="ru-RU"/>
              </w:rPr>
              <w:t>строки поставки товарів, виконання робіт, надання послуг</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hanging="0"/>
              <w:rPr>
                <w:b w:val="false"/>
                <w:b w:val="false"/>
                <w:bCs w:val="false"/>
                <w:sz w:val="22"/>
                <w:szCs w:val="22"/>
              </w:rPr>
            </w:pPr>
            <w:r>
              <w:rPr>
                <w:rFonts w:cs="Times New Roman" w:ascii="Times New Roman" w:hAnsi="Times New Roman"/>
                <w:b w:val="false"/>
                <w:bCs w:val="false"/>
                <w:sz w:val="22"/>
                <w:szCs w:val="22"/>
                <w:lang w:val="ru-RU"/>
              </w:rPr>
              <w:t>До 31.12.202</w:t>
            </w:r>
            <w:r>
              <w:rPr>
                <w:rFonts w:cs="Times New Roman" w:ascii="Times New Roman" w:hAnsi="Times New Roman"/>
                <w:b w:val="false"/>
                <w:bCs w:val="false"/>
                <w:sz w:val="22"/>
                <w:szCs w:val="22"/>
                <w:lang w:val="uk-UA"/>
              </w:rPr>
              <w:t>3</w:t>
            </w:r>
            <w:r>
              <w:rPr>
                <w:rFonts w:cs="Times New Roman" w:ascii="Times New Roman" w:hAnsi="Times New Roman"/>
                <w:b w:val="false"/>
                <w:bCs w:val="false"/>
                <w:sz w:val="22"/>
                <w:szCs w:val="22"/>
                <w:lang w:val="ru-RU"/>
              </w:rPr>
              <w:t xml:space="preserve"> р.</w:t>
            </w:r>
          </w:p>
        </w:tc>
      </w:tr>
      <w:tr>
        <w:trPr>
          <w:trHeight w:val="654"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4.6</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Умови оплати</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firstLine="567"/>
              <w:jc w:val="both"/>
              <w:rPr>
                <w:rFonts w:eastAsia="Times New Roman"/>
                <w:color w:val="000000"/>
                <w:sz w:val="22"/>
                <w:szCs w:val="22"/>
                <w:shd w:fill="auto" w:val="clear"/>
                <w:lang w:val="uk-UA"/>
              </w:rPr>
            </w:pPr>
            <w:r>
              <w:rPr>
                <w:rFonts w:eastAsia="Times New Roman" w:cs="Times New Roman"/>
                <w:bCs/>
                <w:color w:val="000000"/>
                <w:sz w:val="22"/>
                <w:szCs w:val="22"/>
                <w:shd w:fill="auto" w:val="clear"/>
                <w:lang w:val="uk-UA" w:eastAsia="uk-UA"/>
              </w:rPr>
              <w:t>Попередню оплату в розмірі 50% вартості Послуг Замовник сплачує на підставі рахунку Виконавця протягом 5-ти банківських днів;</w:t>
            </w:r>
          </w:p>
          <w:p>
            <w:pPr>
              <w:pStyle w:val="Normal"/>
              <w:widowControl w:val="false"/>
              <w:spacing w:lineRule="auto" w:line="240" w:before="0" w:after="0"/>
              <w:ind w:firstLine="567"/>
              <w:jc w:val="both"/>
              <w:rPr>
                <w:rFonts w:eastAsia="Times New Roman"/>
                <w:color w:val="000000"/>
                <w:sz w:val="22"/>
                <w:szCs w:val="22"/>
                <w:shd w:fill="auto" w:val="clear"/>
                <w:lang w:val="uk-UA"/>
              </w:rPr>
            </w:pPr>
            <w:r>
              <w:rPr>
                <w:rFonts w:eastAsia="Times New Roman" w:cs="Times New Roman"/>
                <w:bCs/>
                <w:color w:val="000000"/>
                <w:sz w:val="22"/>
                <w:szCs w:val="22"/>
                <w:shd w:fill="auto" w:val="clear"/>
                <w:lang w:val="uk-UA" w:eastAsia="uk-UA"/>
              </w:rPr>
              <w:t>- остаточний розрахунок здійснюється протягом 5-ти банківських днів з моменту підписання  Акту здачі-приймання наданих послуг, але не раніше реєстрації податкової накладної на загальну (повну) вартість наданих послуг.</w:t>
            </w:r>
          </w:p>
        </w:tc>
      </w:tr>
      <w:tr>
        <w:trPr>
          <w:trHeight w:val="911" w:hRule="atLeast"/>
        </w:trPr>
        <w:tc>
          <w:tcPr>
            <w:tcW w:w="1023" w:type="dxa"/>
            <w:tcBorders>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color w:val="000000"/>
                <w:sz w:val="22"/>
                <w:szCs w:val="22"/>
                <w:lang w:eastAsia="uk-UA"/>
              </w:rPr>
              <w:t>5</w:t>
            </w:r>
          </w:p>
        </w:tc>
        <w:tc>
          <w:tcPr>
            <w:tcW w:w="2828" w:type="dxa"/>
            <w:tcBorders>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Недискримінація учасників</w:t>
            </w:r>
          </w:p>
        </w:tc>
        <w:tc>
          <w:tcPr>
            <w:tcW w:w="6472" w:type="dxa"/>
            <w:tcBorders>
              <w:left w:val="single" w:sz="6" w:space="0" w:color="000000"/>
              <w:bottom w:val="single" w:sz="6" w:space="0" w:color="000000"/>
              <w:right w:val="single" w:sz="6" w:space="0" w:color="000000"/>
            </w:tcBorders>
          </w:tcPr>
          <w:p>
            <w:pPr>
              <w:pStyle w:val="Normal"/>
              <w:widowControl w:val="false"/>
              <w:jc w:val="both"/>
              <w:rPr>
                <w:rFonts w:eastAsia="Times New Roman"/>
                <w:color w:val="000000"/>
                <w:sz w:val="22"/>
                <w:szCs w:val="22"/>
                <w:lang w:val="uk-UA" w:eastAsia="uk-UA"/>
              </w:rPr>
            </w:pPr>
            <w:r>
              <w:rPr>
                <w:rFonts w:eastAsia="Times New Roman"/>
                <w:color w:val="000000"/>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57"/>
              <w:rPr>
                <w:rFonts w:ascii="Times New Roman" w:hAnsi="Times New Roman" w:cs="Times New Roman"/>
                <w:b/>
                <w:b/>
                <w:sz w:val="22"/>
                <w:szCs w:val="22"/>
                <w:lang w:eastAsia="uk-UA"/>
              </w:rPr>
            </w:pPr>
            <w:r>
              <w:rPr>
                <w:rFonts w:cs="Times New Roman" w:ascii="Times New Roman" w:hAnsi="Times New Roman"/>
                <w:b/>
                <w:sz w:val="22"/>
                <w:szCs w:val="22"/>
                <w:lang w:eastAsia="uk-UA"/>
              </w:rPr>
              <w:t>Інформація про валюту, у якій повинно бути розраховано і зазначено ціну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sz w:val="22"/>
                <w:szCs w:val="22"/>
              </w:rPr>
            </w:pPr>
            <w:r>
              <w:rPr>
                <w:rFonts w:cs="Times New Roman" w:ascii="Times New Roman" w:hAnsi="Times New Roman"/>
                <w:color w:val="000000"/>
                <w:sz w:val="22"/>
                <w:szCs w:val="22"/>
              </w:rPr>
              <w:t xml:space="preserve">Валютою тендерної пропозиції є гривня. </w:t>
            </w:r>
            <w:r>
              <w:rPr>
                <w:rFonts w:cs="Times New Roman" w:ascii="Times New Roman" w:hAnsi="Times New Roman"/>
                <w:bCs/>
                <w:iCs/>
                <w:color w:val="000000"/>
                <w:sz w:val="22"/>
                <w:szCs w:val="22"/>
              </w:rPr>
              <w:t>Розрахунки здійснюватимуться у національній валюті України згідно умов договору про закупівлю.</w:t>
            </w:r>
          </w:p>
          <w:p>
            <w:pPr>
              <w:pStyle w:val="15"/>
              <w:widowControl w:val="false"/>
              <w:spacing w:lineRule="auto" w:line="240" w:before="0" w:after="0"/>
              <w:ind w:left="113" w:right="113" w:hanging="0"/>
              <w:rPr>
                <w:rFonts w:ascii="Times New Roman" w:hAnsi="Times New Roman" w:cs="Times New Roman"/>
                <w:sz w:val="22"/>
                <w:szCs w:val="22"/>
                <w:lang w:eastAsia="uk-UA"/>
              </w:rPr>
            </w:pPr>
            <w:r>
              <w:rPr>
                <w:rFonts w:cs="Times New Roman" w:ascii="Times New Roman" w:hAnsi="Times New Roman"/>
                <w:sz w:val="22"/>
                <w:szCs w:val="22"/>
                <w:lang w:eastAsia="uk-UA"/>
              </w:rPr>
            </w:r>
          </w:p>
        </w:tc>
      </w:tr>
      <w:tr>
        <w:trPr>
          <w:trHeight w:val="8908"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sz w:val="22"/>
                <w:szCs w:val="22"/>
                <w:lang w:eastAsia="uk-UA"/>
              </w:rPr>
            </w:pPr>
            <w:r>
              <w:rPr>
                <w:rFonts w:cs="Times New Roman" w:ascii="Times New Roman" w:hAnsi="Times New Roman"/>
                <w:b/>
                <w:sz w:val="22"/>
                <w:szCs w:val="22"/>
                <w:lang w:eastAsia="uk-UA"/>
              </w:rPr>
              <w:t>Інформація про мову (мови), якою (якими) повинні бути складені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ListParagraph"/>
              <w:widowControl w:val="false"/>
              <w:spacing w:lineRule="auto" w:line="240" w:before="0" w:after="0"/>
              <w:ind w:left="0" w:firstLine="476"/>
              <w:contextualSpacing/>
              <w:rPr>
                <w:rFonts w:ascii="Times New Roman" w:hAnsi="Times New Roman" w:cs="Times New Roman"/>
                <w:lang w:val="uk-UA"/>
              </w:rPr>
            </w:pPr>
            <w:r>
              <w:rPr>
                <w:rFonts w:cs="Times New Roman" w:ascii="Times New Roman" w:hAnsi="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pStyle w:val="ListParagraph"/>
              <w:widowControl w:val="false"/>
              <w:spacing w:lineRule="auto" w:line="240" w:before="0" w:after="0"/>
              <w:ind w:left="0" w:firstLine="476"/>
              <w:contextualSpacing/>
              <w:rPr>
                <w:rFonts w:ascii="Times New Roman" w:hAnsi="Times New Roman" w:cs="Times New Roman"/>
                <w:lang w:val="uk-UA"/>
              </w:rPr>
            </w:pPr>
            <w:r>
              <w:rPr>
                <w:rFonts w:cs="Times New Roman" w:ascii="Times New Roman" w:hAnsi="Times New Roman"/>
                <w:lang w:val="uk-UA"/>
              </w:rPr>
              <w:t>У разі подання у складі 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pPr>
              <w:pStyle w:val="15"/>
              <w:widowControl w:val="false"/>
              <w:spacing w:lineRule="auto" w:line="240" w:before="0" w:after="0"/>
              <w:ind w:right="97" w:firstLine="459"/>
              <w:rPr>
                <w:rFonts w:ascii="Times New Roman" w:hAnsi="Times New Roman" w:cs="Times New Roman"/>
                <w:sz w:val="22"/>
                <w:szCs w:val="22"/>
              </w:rPr>
            </w:pPr>
            <w:r>
              <w:rPr>
                <w:rFonts w:cs="Times New Roman" w:ascii="Times New Roman" w:hAnsi="Times New Roman"/>
                <w:sz w:val="22"/>
                <w:szCs w:val="22"/>
              </w:rPr>
              <w:t>Визначальним є текст, викладений українською мовою.</w:t>
            </w:r>
          </w:p>
          <w:p>
            <w:pPr>
              <w:pStyle w:val="15"/>
              <w:widowControl w:val="false"/>
              <w:spacing w:lineRule="auto" w:line="240" w:before="0" w:after="0"/>
              <w:ind w:right="97" w:firstLine="459"/>
              <w:rPr>
                <w:rFonts w:ascii="Times New Roman" w:hAnsi="Times New Roman" w:cs="Times New Roman"/>
                <w:sz w:val="22"/>
                <w:szCs w:val="22"/>
              </w:rPr>
            </w:pPr>
            <w:r>
              <w:rPr>
                <w:rFonts w:cs="Times New Roman" w:ascii="Times New Roman" w:hAnsi="Times New Roman"/>
                <w:sz w:val="22"/>
                <w:szCs w:val="22"/>
              </w:rPr>
              <w:t>Не потребують перекладу імена, власні назви, назви марок, моделей тощо.</w:t>
            </w:r>
          </w:p>
          <w:p>
            <w:pPr>
              <w:pStyle w:val="NormalWeb"/>
              <w:widowControl w:val="false"/>
              <w:spacing w:lineRule="auto" w:line="240" w:beforeAutospacing="0" w:before="0" w:afterAutospacing="0" w:after="0"/>
              <w:ind w:firstLine="459"/>
              <w:rPr>
                <w:rFonts w:ascii="Times New Roman" w:hAnsi="Times New Roman" w:cs="Times New Roman"/>
                <w:sz w:val="22"/>
                <w:szCs w:val="22"/>
                <w:lang w:val="uk-UA"/>
              </w:rPr>
            </w:pPr>
            <w:r>
              <w:rPr>
                <w:rFonts w:cs="Times New Roman" w:ascii="Times New Roman" w:hAnsi="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Web"/>
              <w:widowControl w:val="false"/>
              <w:spacing w:lineRule="auto" w:line="240" w:beforeAutospacing="0" w:before="0" w:afterAutospacing="0" w:after="0"/>
              <w:ind w:firstLine="459"/>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w:t>
            </w:r>
          </w:p>
          <w:p>
            <w:pPr>
              <w:pStyle w:val="NormalWeb"/>
              <w:widowControl w:val="false"/>
              <w:spacing w:lineRule="auto" w:line="240" w:beforeAutospacing="0" w:before="0" w:afterAutospacing="0" w:after="0"/>
              <w:ind w:firstLine="459"/>
              <w:rPr>
                <w:sz w:val="22"/>
                <w:szCs w:val="22"/>
                <w:lang w:val="uk-UA"/>
              </w:rPr>
            </w:pPr>
            <w:r>
              <w:rPr>
                <w:rFonts w:cs="Times New Roman" w:ascii="Times New Roman" w:hAnsi="Times New Roman"/>
                <w:color w:val="000000"/>
                <w:sz w:val="22"/>
                <w:szCs w:val="22"/>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c>
          <w:tcPr>
            <w:tcW w:w="10323" w:type="dxa"/>
            <w:gridSpan w:val="3"/>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rPr>
            </w:pPr>
            <w:r>
              <w:rPr>
                <w:rFonts w:cs="Times New Roman" w:ascii="Times New Roman" w:hAnsi="Times New Roman"/>
                <w:b/>
                <w:sz w:val="22"/>
                <w:szCs w:val="22"/>
              </w:rPr>
              <w:t>ІІ. Порядок унесення змін та надання роз’яснень до тендерної документації</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Процедура надання роз’яснень щодо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0"/>
              <w:jc w:val="both"/>
              <w:rPr>
                <w:color w:val="000000"/>
                <w:sz w:val="22"/>
                <w:szCs w:val="22"/>
                <w:lang w:val="uk-UA"/>
              </w:rPr>
            </w:pPr>
            <w:r>
              <w:rPr>
                <w:color w:val="000000"/>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ind w:firstLine="340"/>
              <w:jc w:val="both"/>
              <w:rPr>
                <w:color w:val="000000"/>
                <w:sz w:val="22"/>
                <w:szCs w:val="22"/>
                <w:lang w:val="uk-UA"/>
              </w:rPr>
            </w:pPr>
            <w:r>
              <w:rPr>
                <w:color w:val="000000"/>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ind w:firstLine="340"/>
              <w:jc w:val="both"/>
              <w:rPr>
                <w:sz w:val="22"/>
                <w:szCs w:val="22"/>
                <w:lang w:val="uk-UA"/>
              </w:rPr>
            </w:pPr>
            <w:r>
              <w:rPr>
                <w:color w:val="000000"/>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Внесення змін 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0"/>
              <w:jc w:val="both"/>
              <w:rPr>
                <w:color w:val="000000"/>
                <w:sz w:val="22"/>
                <w:szCs w:val="22"/>
                <w:lang w:val="uk-UA"/>
              </w:rPr>
            </w:pPr>
            <w:r>
              <w:rPr>
                <w:color w:val="000000"/>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ind w:firstLine="340"/>
              <w:jc w:val="both"/>
              <w:rPr>
                <w:color w:val="333333"/>
                <w:sz w:val="22"/>
                <w:szCs w:val="22"/>
                <w:lang w:val="uk-UA" w:eastAsia="ru-RU"/>
              </w:rPr>
            </w:pPr>
            <w:r>
              <w:rPr>
                <w:color w:val="333333"/>
                <w:sz w:val="22"/>
                <w:szCs w:val="22"/>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lang w:eastAsia="uk-UA"/>
              </w:rPr>
            </w:pPr>
            <w:r>
              <w:rPr>
                <w:rFonts w:cs="Times New Roman" w:ascii="Times New Roman" w:hAnsi="Times New Roman"/>
                <w:b/>
                <w:sz w:val="22"/>
                <w:szCs w:val="22"/>
                <w:lang w:eastAsia="uk-UA"/>
              </w:rPr>
            </w:r>
          </w:p>
        </w:tc>
        <w:tc>
          <w:tcPr>
            <w:tcW w:w="9300" w:type="dxa"/>
            <w:gridSpan w:val="2"/>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sz w:val="22"/>
                <w:szCs w:val="22"/>
                <w:lang w:eastAsia="uk-UA"/>
              </w:rPr>
            </w:pPr>
            <w:r>
              <w:rPr>
                <w:rFonts w:cs="Times New Roman" w:ascii="Times New Roman" w:hAnsi="Times New Roman"/>
                <w:b/>
                <w:sz w:val="22"/>
                <w:szCs w:val="22"/>
                <w:lang w:eastAsia="uk-UA"/>
              </w:rPr>
              <w:t>IIІ. Інструкція з підготовки тендерної пропозиції</w:t>
            </w:r>
          </w:p>
        </w:tc>
      </w:tr>
      <w:tr>
        <w:trPr>
          <w:trHeight w:val="884"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Зміст і спосіб подання тендерної пропозиції</w:t>
            </w:r>
          </w:p>
          <w:p>
            <w:pPr>
              <w:pStyle w:val="15"/>
              <w:widowControl w:val="false"/>
              <w:spacing w:lineRule="auto" w:line="240" w:before="0" w:after="0"/>
              <w:ind w:left="113" w:right="113" w:firstLine="737"/>
              <w:rPr>
                <w:rFonts w:ascii="Times New Roman" w:hAnsi="Times New Roman" w:cs="Times New Roman"/>
                <w:sz w:val="22"/>
                <w:szCs w:val="22"/>
                <w:lang w:eastAsia="uk-UA"/>
              </w:rPr>
            </w:pPr>
            <w:r>
              <w:rPr>
                <w:rFonts w:cs="Times New Roman" w:ascii="Times New Roman" w:hAnsi="Times New Roman"/>
                <w:sz w:val="22"/>
                <w:szCs w:val="22"/>
                <w:lang w:eastAsia="uk-UA"/>
              </w:rPr>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pPr>
            <w:r>
              <w:rPr>
                <w:rStyle w:val="Rvts0"/>
                <w:rFonts w:eastAsia="" w:cs="Times New Roman" w:ascii="Times New Roman" w:hAnsi="Times New Roman" w:eastAsiaTheme="majorEastAsia"/>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та завантаження файлів (сканованих документів) з:</w:t>
            </w:r>
          </w:p>
          <w:p>
            <w:pPr>
              <w:pStyle w:val="15"/>
              <w:widowControl w:val="false"/>
              <w:spacing w:lineRule="auto" w:line="240" w:before="0" w:after="0"/>
              <w:ind w:left="113" w:right="113" w:firstLine="404"/>
              <w:rPr>
                <w:rFonts w:ascii="Times New Roman" w:hAnsi="Times New Roman" w:cs="Times New Roman"/>
                <w:sz w:val="22"/>
                <w:szCs w:val="22"/>
              </w:rPr>
            </w:pPr>
            <w:r>
              <w:rPr>
                <w:rFonts w:cs="Times New Roman" w:ascii="Times New Roman" w:hAnsi="Times New Roman"/>
                <w:sz w:val="22"/>
                <w:szCs w:val="22"/>
              </w:rPr>
              <w:t>- Тендерна пропозиція за формою згідно з Додатком 1 до тендерної документації;</w:t>
            </w:r>
          </w:p>
          <w:p>
            <w:pPr>
              <w:pStyle w:val="15"/>
              <w:widowControl w:val="false"/>
              <w:spacing w:lineRule="auto" w:line="240" w:before="0" w:after="0"/>
              <w:ind w:left="113" w:right="113" w:firstLine="403"/>
              <w:rPr>
                <w:rFonts w:ascii="Times New Roman" w:hAnsi="Times New Roman" w:cs="Times New Roman"/>
                <w:sz w:val="22"/>
                <w:szCs w:val="22"/>
              </w:rPr>
            </w:pPr>
            <w:r>
              <w:rPr>
                <w:rFonts w:cs="Times New Roman" w:ascii="Times New Roman" w:hAnsi="Times New Roman"/>
                <w:sz w:val="22"/>
                <w:szCs w:val="22"/>
              </w:rPr>
              <w:t>- Перелік документів, які вимагаються для підтвердження відповідності пропозиції Учасника/Переможця кваліфікаційним критеріям та іншим вимогам Замовника (Додаток 2 до тендерної документації);</w:t>
            </w:r>
          </w:p>
          <w:p>
            <w:pPr>
              <w:pStyle w:val="15"/>
              <w:widowControl w:val="false"/>
              <w:spacing w:lineRule="auto" w:line="240" w:before="0" w:after="0"/>
              <w:ind w:left="113" w:right="113" w:firstLine="403"/>
              <w:rPr>
                <w:sz w:val="22"/>
                <w:szCs w:val="22"/>
              </w:rPr>
            </w:pPr>
            <w:r>
              <w:rPr>
                <w:rFonts w:cs="Times New Roman" w:ascii="Times New Roman" w:hAnsi="Times New Roman"/>
                <w:sz w:val="22"/>
                <w:szCs w:val="22"/>
              </w:rPr>
              <w:t>-</w:t>
            </w:r>
            <w:r>
              <w:rPr>
                <w:rFonts w:cs="Times New Roman" w:ascii="Times New Roman" w:hAnsi="Times New Roman"/>
                <w:color w:val="000000"/>
                <w:sz w:val="22"/>
                <w:szCs w:val="22"/>
              </w:rPr>
              <w:t xml:space="preserve"> </w:t>
            </w:r>
            <w:r>
              <w:rPr>
                <w:rFonts w:cs="Times New Roman" w:ascii="Times New Roman" w:hAnsi="Times New Roman"/>
                <w:color w:val="000000"/>
                <w:sz w:val="22"/>
                <w:szCs w:val="22"/>
                <w:lang w:eastAsia="uk-UA" w:bidi="ar-SA"/>
              </w:rPr>
              <w:t>Інформацію щодо відповідності учасника вимогам, визначеним у статті 17 Закону Додаток 2. Переможець процедури закупівлі у строк, що не перевищує</w:t>
            </w:r>
            <w:r>
              <w:rPr>
                <w:rFonts w:cs="Times New Roman" w:ascii="Times New Roman" w:hAnsi="Times New Roman"/>
                <w:b/>
                <w:bCs/>
                <w:color w:val="000000"/>
                <w:sz w:val="22"/>
                <w:szCs w:val="22"/>
                <w:lang w:eastAsia="uk-UA" w:bidi="ar-SA"/>
              </w:rPr>
              <w:t xml:space="preserve"> чотири дні </w:t>
            </w:r>
            <w:r>
              <w:rPr>
                <w:rFonts w:cs="Times New Roman" w:ascii="Times New Roman" w:hAnsi="Times New Roman"/>
                <w:color w:val="000000"/>
                <w:sz w:val="22"/>
                <w:szCs w:val="22"/>
                <w:lang w:eastAsia="uk-UA" w:bidi="ar-S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fldChar w:fldCharType="begin"/>
            </w:r>
            <w:r>
              <w:rPr>
                <w:sz w:val="22"/>
                <w:u w:val="single"/>
                <w:szCs w:val="22"/>
                <w:rFonts w:cs="Times New Roman" w:ascii="Times New Roman" w:hAnsi="Times New Roman"/>
                <w:color w:val="000000"/>
                <w:lang w:eastAsia="uk-UA" w:bidi="ar-SA"/>
              </w:rPr>
              <w:instrText> HYPERLINK "https://zakon.rada.gov.ua/laws/show/922-19" \l "n1264"</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 xml:space="preserve">пунктами </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u w:val="single"/>
                <w:lang w:eastAsia="uk-UA" w:bidi="ar-SA"/>
              </w:rPr>
              <w:t>2,</w:t>
            </w:r>
            <w:r>
              <w:rPr>
                <w:rFonts w:cs="Times New Roman" w:ascii="Times New Roman" w:hAnsi="Times New Roman"/>
                <w:color w:val="000000"/>
                <w:sz w:val="22"/>
                <w:szCs w:val="22"/>
                <w:lang w:eastAsia="uk-UA" w:bidi="ar-SA"/>
              </w:rPr>
              <w:t> </w:t>
            </w:r>
            <w:r>
              <w:fldChar w:fldCharType="begin"/>
            </w:r>
            <w:r>
              <w:rPr>
                <w:sz w:val="22"/>
                <w:u w:val="single"/>
                <w:szCs w:val="22"/>
                <w:rFonts w:cs="Times New Roman" w:ascii="Times New Roman" w:hAnsi="Times New Roman"/>
                <w:color w:val="000000"/>
                <w:lang w:eastAsia="uk-UA" w:bidi="ar-SA"/>
              </w:rPr>
              <w:instrText> HYPERLINK "https://zakon.rada.gov.ua/laws/show/922-19" \l "n1265"</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3</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lang w:eastAsia="uk-UA" w:bidi="ar-SA"/>
              </w:rPr>
              <w:t>, </w:t>
            </w:r>
            <w:r>
              <w:fldChar w:fldCharType="begin"/>
            </w:r>
            <w:r>
              <w:rPr>
                <w:sz w:val="22"/>
                <w:u w:val="single"/>
                <w:szCs w:val="22"/>
                <w:rFonts w:cs="Times New Roman" w:ascii="Times New Roman" w:hAnsi="Times New Roman"/>
                <w:color w:val="000000"/>
                <w:lang w:eastAsia="uk-UA" w:bidi="ar-SA"/>
              </w:rPr>
              <w:instrText> HYPERLINK "https://zakon.rada.gov.ua/laws/show/922-19" \l "n1267"</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5</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lang w:eastAsia="uk-UA" w:bidi="ar-SA"/>
              </w:rPr>
              <w:t>, </w:t>
            </w:r>
            <w:r>
              <w:fldChar w:fldCharType="begin"/>
            </w:r>
            <w:r>
              <w:rPr>
                <w:sz w:val="22"/>
                <w:u w:val="single"/>
                <w:szCs w:val="22"/>
                <w:rFonts w:cs="Times New Roman" w:ascii="Times New Roman" w:hAnsi="Times New Roman"/>
                <w:color w:val="000000"/>
                <w:lang w:eastAsia="uk-UA" w:bidi="ar-SA"/>
              </w:rPr>
              <w:instrText> HYPERLINK "https://zakon.rada.gov.ua/laws/show/922-19" \l "n1268"</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6</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lang w:eastAsia="uk-UA" w:bidi="ar-SA"/>
              </w:rPr>
              <w:t xml:space="preserve"> і </w:t>
            </w:r>
            <w:r>
              <w:fldChar w:fldCharType="begin"/>
            </w:r>
            <w:r>
              <w:rPr>
                <w:sz w:val="22"/>
                <w:u w:val="single"/>
                <w:szCs w:val="22"/>
                <w:rFonts w:cs="Times New Roman" w:ascii="Times New Roman" w:hAnsi="Times New Roman"/>
                <w:color w:val="000000"/>
                <w:lang w:eastAsia="uk-UA" w:bidi="ar-SA"/>
              </w:rPr>
              <w:instrText> HYPERLINK "https://zakon.rada.gov.ua/laws/show/922-19" \l "n1275"</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12 частини першої</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u w:val="single"/>
                <w:lang w:eastAsia="uk-UA" w:bidi="ar-SA"/>
              </w:rPr>
              <w:t xml:space="preserve"> </w:t>
            </w:r>
            <w:r>
              <w:rPr>
                <w:rFonts w:cs="Times New Roman" w:ascii="Times New Roman" w:hAnsi="Times New Roman"/>
                <w:color w:val="000000"/>
                <w:sz w:val="22"/>
                <w:szCs w:val="22"/>
                <w:lang w:eastAsia="uk-UA" w:bidi="ar-SA"/>
              </w:rPr>
              <w:t xml:space="preserve">та </w:t>
            </w:r>
            <w:r>
              <w:fldChar w:fldCharType="begin"/>
            </w:r>
            <w:r>
              <w:rPr>
                <w:sz w:val="22"/>
                <w:u w:val="single"/>
                <w:szCs w:val="22"/>
                <w:rFonts w:cs="Times New Roman" w:ascii="Times New Roman" w:hAnsi="Times New Roman"/>
                <w:color w:val="000000"/>
                <w:lang w:eastAsia="uk-UA" w:bidi="ar-SA"/>
              </w:rPr>
              <w:instrText> HYPERLINK "https://zakon.rada.gov.ua/laws/show/922-19" \l "n1276"</w:instrText>
            </w:r>
            <w:r>
              <w:rPr>
                <w:sz w:val="22"/>
                <w:u w:val="single"/>
                <w:szCs w:val="22"/>
                <w:rFonts w:cs="Times New Roman" w:ascii="Times New Roman" w:hAnsi="Times New Roman"/>
                <w:color w:val="000000"/>
                <w:lang w:eastAsia="uk-UA" w:bidi="ar-SA"/>
              </w:rPr>
              <w:fldChar w:fldCharType="separate"/>
            </w:r>
            <w:r>
              <w:rPr>
                <w:rFonts w:cs="Times New Roman" w:ascii="Times New Roman" w:hAnsi="Times New Roman"/>
                <w:color w:val="000000"/>
                <w:sz w:val="22"/>
                <w:szCs w:val="22"/>
                <w:u w:val="single"/>
                <w:lang w:eastAsia="uk-UA" w:bidi="ar-SA"/>
              </w:rPr>
              <w:t>частиною другою</w:t>
            </w:r>
            <w:r>
              <w:rPr>
                <w:sz w:val="22"/>
                <w:u w:val="single"/>
                <w:szCs w:val="22"/>
                <w:rFonts w:cs="Times New Roman" w:ascii="Times New Roman" w:hAnsi="Times New Roman"/>
                <w:color w:val="000000"/>
                <w:lang w:eastAsia="uk-UA" w:bidi="ar-SA"/>
              </w:rPr>
              <w:fldChar w:fldCharType="end"/>
            </w:r>
            <w:r>
              <w:rPr>
                <w:rFonts w:cs="Times New Roman" w:ascii="Times New Roman" w:hAnsi="Times New Roman"/>
                <w:color w:val="000000"/>
                <w:sz w:val="22"/>
                <w:szCs w:val="22"/>
                <w:lang w:eastAsia="uk-UA" w:bidi="ar-SA"/>
              </w:rPr>
              <w:t xml:space="preserve"> ст.17 Закону.</w:t>
            </w:r>
          </w:p>
          <w:p>
            <w:pPr>
              <w:pStyle w:val="15"/>
              <w:widowControl w:val="false"/>
              <w:spacing w:lineRule="auto" w:line="240" w:before="0" w:after="0"/>
              <w:ind w:left="113" w:right="113" w:firstLine="403"/>
              <w:rPr>
                <w:rFonts w:ascii="Times New Roman" w:hAnsi="Times New Roman" w:cs="Times New Roman"/>
                <w:iCs/>
                <w:sz w:val="22"/>
                <w:szCs w:val="22"/>
              </w:rPr>
            </w:pPr>
            <w:r>
              <w:rPr>
                <w:rFonts w:cs="Times New Roman" w:ascii="Times New Roman" w:hAnsi="Times New Roman"/>
                <w:iCs/>
                <w:sz w:val="22"/>
                <w:szCs w:val="22"/>
              </w:rPr>
              <w:t>-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ListParagraph"/>
              <w:widowControl w:val="false"/>
              <w:spacing w:lineRule="auto" w:line="240" w:before="0" w:after="60"/>
              <w:ind w:left="27" w:firstLine="517"/>
              <w:contextualSpacing/>
              <w:rPr>
                <w:rFonts w:ascii="Times New Roman" w:hAnsi="Times New Roman" w:cs="Times New Roman"/>
                <w:iCs/>
                <w:lang w:val="uk-UA" w:eastAsia="uk-UA" w:bidi="ar-SA"/>
              </w:rPr>
            </w:pPr>
            <w:r>
              <w:rPr>
                <w:rFonts w:cs="Times New Roman" w:ascii="Times New Roman" w:hAnsi="Times New Roman"/>
                <w:iCs/>
                <w:color w:val="000000"/>
                <w:lang w:val="uk-UA" w:eastAsia="uk-UA" w:bidi="ar-SA"/>
              </w:rPr>
              <w:t>- Інформацію про необхідні технічні, якісні та кількісні характеристики предмета закупівлі, а також відповідні технічні специфікації, маркування, сертифікати, та інші засоби підтвердження відповідності згідно з Додатком №3.</w:t>
            </w:r>
          </w:p>
          <w:p>
            <w:pPr>
              <w:pStyle w:val="15"/>
              <w:widowControl w:val="false"/>
              <w:spacing w:lineRule="auto" w:line="240" w:before="0" w:after="0"/>
              <w:ind w:left="113" w:right="113" w:firstLine="403"/>
              <w:rPr>
                <w:iCs/>
                <w:sz w:val="22"/>
                <w:szCs w:val="22"/>
              </w:rPr>
            </w:pPr>
            <w:r>
              <w:rPr>
                <w:rFonts w:cs="Times New Roman" w:ascii="Times New Roman" w:hAnsi="Times New Roman"/>
                <w:iCs/>
                <w:sz w:val="22"/>
                <w:szCs w:val="22"/>
              </w:rPr>
              <w:t xml:space="preserve">- </w:t>
            </w:r>
            <w:r>
              <w:rPr>
                <w:rFonts w:cs="Times New Roman" w:ascii="Times New Roman" w:hAnsi="Times New Roman"/>
                <w:iCs/>
                <w:color w:val="000000"/>
                <w:sz w:val="22"/>
                <w:szCs w:val="22"/>
                <w:lang w:eastAsia="uk-UA" w:bidi="ar-SA"/>
              </w:rPr>
              <w:t>Погодження у довільній формі з проектом договору про закупівлю згідно з Додатком №4;</w:t>
            </w:r>
          </w:p>
          <w:p>
            <w:pPr>
              <w:pStyle w:val="15"/>
              <w:widowControl w:val="false"/>
              <w:spacing w:lineRule="auto" w:line="240" w:before="0" w:after="0"/>
              <w:ind w:left="113" w:right="113" w:firstLine="403"/>
              <w:rPr>
                <w:rFonts w:ascii="Times New Roman" w:hAnsi="Times New Roman" w:cs="Times New Roman"/>
                <w:sz w:val="22"/>
                <w:szCs w:val="22"/>
              </w:rPr>
            </w:pPr>
            <w:r>
              <w:rPr>
                <w:rFonts w:cs="Times New Roman" w:ascii="Times New Roman" w:hAnsi="Times New Roman"/>
                <w:sz w:val="22"/>
                <w:szCs w:val="22"/>
              </w:rPr>
              <w:t>- іншою інформацією та документами відповідно до вимог цієї тендерної документації та додатків до неї.</w:t>
            </w:r>
          </w:p>
          <w:p>
            <w:pPr>
              <w:pStyle w:val="15"/>
              <w:widowControl w:val="false"/>
              <w:spacing w:lineRule="auto" w:line="240" w:before="0" w:after="0"/>
              <w:ind w:firstLine="228"/>
              <w:rPr>
                <w:rFonts w:ascii="Times New Roman" w:hAnsi="Times New Roman" w:cs="Times New Roman"/>
                <w:sz w:val="22"/>
                <w:szCs w:val="22"/>
              </w:rPr>
            </w:pPr>
            <w:r>
              <w:rPr>
                <w:rFonts w:cs="Times New Roman" w:ascii="Times New Roman" w:hAnsi="Times New Roman"/>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pPr>
              <w:pStyle w:val="Normal"/>
              <w:widowControl w:val="false"/>
              <w:ind w:firstLine="391"/>
              <w:jc w:val="both"/>
              <w:rPr>
                <w:sz w:val="22"/>
                <w:szCs w:val="22"/>
                <w:lang w:val="uk-UA"/>
              </w:rPr>
            </w:pPr>
            <w:r>
              <w:rPr>
                <w:sz w:val="22"/>
                <w:szCs w:val="2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(мають бути чіткими та розбірливими для читання) </w:t>
            </w:r>
            <w:r>
              <w:rPr>
                <w:b/>
                <w:bCs/>
                <w:sz w:val="22"/>
                <w:szCs w:val="22"/>
                <w:lang w:val="uk-UA"/>
              </w:rPr>
              <w:t>або</w:t>
            </w:r>
            <w:r>
              <w:rPr>
                <w:sz w:val="22"/>
                <w:szCs w:val="22"/>
                <w:lang w:val="uk-UA"/>
              </w:rPr>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 на кожен електронний документ тендерної пропозиції окремо.</w:t>
            </w:r>
          </w:p>
          <w:p>
            <w:pPr>
              <w:pStyle w:val="Normal"/>
              <w:widowControl w:val="false"/>
              <w:ind w:firstLine="391"/>
              <w:jc w:val="both"/>
              <w:rPr>
                <w:sz w:val="22"/>
                <w:szCs w:val="22"/>
                <w:lang w:val="uk-UA"/>
              </w:rPr>
            </w:pPr>
            <w:r>
              <w:rPr>
                <w:sz w:val="22"/>
                <w:szCs w:val="22"/>
                <w:lang w:val="uk-UA"/>
              </w:rPr>
              <w:t>Документи тендерної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pPr>
              <w:pStyle w:val="Normal"/>
              <w:widowControl w:val="false"/>
              <w:ind w:firstLine="391"/>
              <w:jc w:val="both"/>
              <w:rPr>
                <w:color w:val="000000"/>
                <w:sz w:val="22"/>
                <w:szCs w:val="22"/>
              </w:rPr>
            </w:pPr>
            <w:r>
              <w:rPr>
                <w:color w:val="000000"/>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Pr>
                <w:color w:val="000000"/>
                <w:sz w:val="22"/>
                <w:szCs w:val="22"/>
              </w:rPr>
              <w:t>Вимога щодо накладання КЕП або УЕП для автентифікації не застосовується до учасників нерезидентів.</w:t>
            </w:r>
          </w:p>
          <w:p>
            <w:pPr>
              <w:pStyle w:val="Normal"/>
              <w:widowControl w:val="false"/>
              <w:ind w:firstLine="391"/>
              <w:jc w:val="both"/>
              <w:rPr>
                <w:sz w:val="22"/>
                <w:szCs w:val="22"/>
              </w:rPr>
            </w:pPr>
            <w:r>
              <w:rPr>
                <w:sz w:val="22"/>
                <w:szCs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15"/>
              <w:widowControl w:val="false"/>
              <w:spacing w:lineRule="auto" w:line="240" w:before="0" w:after="0"/>
              <w:ind w:firstLine="228"/>
              <w:rPr>
                <w:rFonts w:ascii="Times New Roman" w:hAnsi="Times New Roman" w:cs="Times New Roman"/>
                <w:sz w:val="22"/>
                <w:szCs w:val="22"/>
              </w:rPr>
            </w:pPr>
            <w:r>
              <w:rPr>
                <w:rFonts w:cs="Times New Roman" w:ascii="Times New Roman" w:hAnsi="Times New Roman"/>
                <w:sz w:val="22"/>
                <w:szCs w:val="22"/>
              </w:rPr>
              <w:t>Виняток: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pPr>
              <w:pStyle w:val="15"/>
              <w:widowControl w:val="false"/>
              <w:spacing w:lineRule="auto" w:line="240" w:before="0" w:after="0"/>
              <w:ind w:firstLine="228"/>
              <w:rPr>
                <w:rFonts w:ascii="Times New Roman" w:hAnsi="Times New Roman" w:cs="Times New Roman"/>
                <w:sz w:val="22"/>
                <w:szCs w:val="22"/>
              </w:rPr>
            </w:pPr>
            <w:r>
              <w:rPr>
                <w:rFonts w:cs="Times New Roman" w:ascii="Times New Roman" w:hAnsi="Times New Roman"/>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pPr>
              <w:pStyle w:val="15"/>
              <w:widowControl w:val="false"/>
              <w:spacing w:lineRule="auto" w:line="240" w:before="0" w:after="0"/>
              <w:ind w:firstLine="228"/>
              <w:rPr>
                <w:rFonts w:ascii="Times New Roman" w:hAnsi="Times New Roman" w:cs="Times New Roman"/>
                <w:sz w:val="22"/>
                <w:szCs w:val="22"/>
              </w:rPr>
            </w:pPr>
            <w:r>
              <w:rPr>
                <w:rFonts w:cs="Times New Roman" w:ascii="Times New Roman" w:hAnsi="Times New Roman"/>
                <w:sz w:val="22"/>
                <w:szCs w:val="22"/>
              </w:rPr>
              <w:t>Замовник перевіряє КЕП або УЕП учасника на сайті центрального засвідчувального органу за посиланням https://czo.gov.ua/verify</w:t>
            </w:r>
          </w:p>
          <w:p>
            <w:pPr>
              <w:pStyle w:val="15"/>
              <w:widowControl w:val="false"/>
              <w:spacing w:lineRule="auto" w:line="240" w:before="0" w:after="0"/>
              <w:ind w:firstLine="228"/>
              <w:rPr>
                <w:sz w:val="22"/>
                <w:szCs w:val="22"/>
              </w:rPr>
            </w:pPr>
            <w:r>
              <w:rPr>
                <w:rFonts w:cs="Times New Roman" w:ascii="Times New Roman" w:hAnsi="Times New Roman"/>
                <w:sz w:val="22"/>
                <w:szCs w:val="22"/>
              </w:rPr>
              <w:t>Під час перевірки КЕП або УЕП повинні відображатися прізвище та ініціали, посада особи, уповноваженої на підписання тендерної пропозиції (власника ключа), найменування суб'єкта господарювання (для юридичних осіб). У випадку відсутності даної інформації або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другим підпункту 2 пункту 41 Постанови.</w:t>
            </w:r>
          </w:p>
          <w:p>
            <w:pPr>
              <w:pStyle w:val="15"/>
              <w:widowControl w:val="false"/>
              <w:spacing w:lineRule="auto" w:line="240" w:before="0" w:after="0"/>
              <w:ind w:left="113" w:right="113" w:firstLine="403"/>
              <w:rPr>
                <w:rFonts w:ascii="Times New Roman" w:hAnsi="Times New Roman" w:cs="Times New Roman"/>
                <w:sz w:val="22"/>
                <w:szCs w:val="22"/>
              </w:rPr>
            </w:pPr>
            <w:r>
              <w:rPr>
                <w:rFonts w:cs="Times New Roman" w:ascii="Times New Roman" w:hAnsi="Times New Roman"/>
                <w:sz w:val="22"/>
                <w:szCs w:val="22"/>
              </w:rPr>
              <w:t>Кожен Учасник має право подати тільки одну тендерну пропозицію.</w:t>
            </w:r>
          </w:p>
          <w:p>
            <w:pPr>
              <w:pStyle w:val="15"/>
              <w:widowControl w:val="false"/>
              <w:shd w:val="clear" w:color="auto" w:fill="FFFFFF"/>
              <w:snapToGrid w:val="false"/>
              <w:spacing w:lineRule="auto" w:line="240" w:before="0" w:after="0"/>
              <w:ind w:left="53" w:right="140" w:firstLine="259"/>
              <w:rPr>
                <w:sz w:val="22"/>
                <w:szCs w:val="22"/>
                <w:lang w:eastAsia="zh-CN"/>
              </w:rPr>
            </w:pPr>
            <w:r>
              <w:rPr>
                <w:rFonts w:cs="Times New Roman" w:ascii="Times New Roman" w:hAnsi="Times New Roman"/>
                <w:sz w:val="22"/>
                <w:szCs w:val="22"/>
                <w:lang w:eastAsia="zh-CN"/>
              </w:rPr>
              <w:t xml:space="preserve">Конфіденційною </w:t>
            </w:r>
            <w:r>
              <w:rPr>
                <w:rFonts w:cs="Times New Roman" w:ascii="Times New Roman" w:hAnsi="Times New Roman"/>
                <w:b/>
                <w:sz w:val="22"/>
                <w:szCs w:val="22"/>
                <w:u w:val="single"/>
                <w:lang w:eastAsia="zh-CN"/>
              </w:rPr>
              <w:t>не може бути</w:t>
            </w:r>
            <w:r>
              <w:rPr>
                <w:rFonts w:cs="Times New Roman" w:ascii="Times New Roman" w:hAnsi="Times New Roman"/>
                <w:sz w:val="22"/>
                <w:szCs w:val="22"/>
                <w:lang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pPr>
              <w:pStyle w:val="15"/>
              <w:widowControl w:val="false"/>
              <w:shd w:val="clear" w:color="auto" w:fill="FFFFFF"/>
              <w:snapToGrid w:val="false"/>
              <w:spacing w:lineRule="auto" w:line="240" w:before="0" w:after="0"/>
              <w:ind w:left="53" w:right="140" w:firstLine="259"/>
              <w:rPr>
                <w:rFonts w:ascii="Times New Roman" w:hAnsi="Times New Roman" w:cs="Times New Roman"/>
                <w:sz w:val="22"/>
                <w:szCs w:val="22"/>
              </w:rPr>
            </w:pPr>
            <w:r>
              <w:rPr>
                <w:rFonts w:cs="Times New Roman" w:ascii="Times New Roman" w:hAnsi="Times New Roman"/>
                <w:b/>
                <w:sz w:val="22"/>
                <w:szCs w:val="22"/>
                <w:u w:val="single"/>
                <w:lang w:eastAsia="zh-CN"/>
              </w:rPr>
              <w:t>У випадку визначення такої інформації конфіденційною, пропозиція Учасника вважається такою, що не відповідає умовам тендерної документації.</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737"/>
              <w:rPr>
                <w:rFonts w:ascii="Times New Roman" w:hAnsi="Times New Roman" w:cs="Times New Roman"/>
                <w:b/>
                <w:b/>
                <w:sz w:val="22"/>
                <w:szCs w:val="22"/>
                <w:lang w:eastAsia="uk-UA"/>
              </w:rPr>
            </w:pPr>
            <w:r>
              <w:rPr>
                <w:rFonts w:cs="Times New Roman" w:ascii="Times New Roman" w:hAnsi="Times New Roman"/>
                <w:b/>
                <w:sz w:val="22"/>
                <w:szCs w:val="22"/>
                <w:lang w:eastAsia="uk-UA"/>
              </w:rPr>
              <w:t xml:space="preserve"> </w:t>
            </w: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Не вимагається</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pPr>
              <w:pStyle w:val="NormalWeb"/>
              <w:widowControl w:val="false"/>
              <w:spacing w:lineRule="auto" w:line="240" w:before="0" w:after="0"/>
              <w:ind w:hanging="0"/>
              <w:rPr>
                <w:rFonts w:ascii="Times New Roman" w:hAnsi="Times New Roman" w:cs="Times New Roman"/>
                <w:b/>
                <w:b/>
                <w:sz w:val="22"/>
                <w:szCs w:val="22"/>
                <w:lang w:val="uk-UA"/>
              </w:rPr>
            </w:pPr>
            <w:r>
              <w:rPr>
                <w:rFonts w:cs="Times New Roman" w:ascii="Times New Roman" w:hAnsi="Times New Roman"/>
                <w:b/>
                <w:sz w:val="22"/>
                <w:szCs w:val="22"/>
                <w:lang w:val="uk-UA"/>
              </w:rPr>
              <w:t>Умови повернення чи неповернення 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Rvps2"/>
              <w:widowControl w:val="false"/>
              <w:spacing w:lineRule="auto" w:line="240" w:beforeAutospacing="0" w:before="0" w:afterAutospacing="0" w:after="0"/>
              <w:rPr>
                <w:rFonts w:ascii="Times New Roman" w:hAnsi="Times New Roman" w:cs="Times New Roman"/>
                <w:sz w:val="22"/>
                <w:szCs w:val="22"/>
              </w:rPr>
            </w:pPr>
            <w:r>
              <w:rPr>
                <w:rFonts w:cs="Times New Roman" w:ascii="Times New Roman" w:hAnsi="Times New Roman"/>
                <w:sz w:val="22"/>
                <w:szCs w:val="22"/>
              </w:rPr>
              <w:t>Не вимагається</w:t>
            </w:r>
          </w:p>
        </w:tc>
      </w:tr>
      <w:tr>
        <w:trPr>
          <w:trHeight w:val="841"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firstLine="57"/>
              <w:rPr>
                <w:rFonts w:ascii="Times New Roman" w:hAnsi="Times New Roman" w:cs="Times New Roman"/>
                <w:b/>
                <w:b/>
                <w:sz w:val="22"/>
                <w:szCs w:val="22"/>
                <w:lang w:val="ru-RU"/>
              </w:rPr>
            </w:pPr>
            <w:r>
              <w:rPr>
                <w:rFonts w:cs="Times New Roman" w:ascii="Times New Roman" w:hAnsi="Times New Roman"/>
                <w:b/>
                <w:sz w:val="22"/>
                <w:szCs w:val="22"/>
                <w:lang w:val="ru-RU"/>
              </w:rPr>
              <w:t>Строк дії тендерної пропозиції, протягом якого тендерні пропозиції вважаються дійсними</w:t>
            </w:r>
          </w:p>
          <w:p>
            <w:pPr>
              <w:pStyle w:val="15"/>
              <w:widowControl w:val="false"/>
              <w:spacing w:lineRule="auto" w:line="240" w:before="0" w:after="0"/>
              <w:ind w:left="113" w:right="113" w:firstLine="737"/>
              <w:rPr>
                <w:rFonts w:ascii="Times New Roman" w:hAnsi="Times New Roman" w:cs="Times New Roman"/>
                <w:b/>
                <w:b/>
                <w:sz w:val="22"/>
                <w:szCs w:val="22"/>
                <w:lang w:val="ru-RU" w:eastAsia="uk-UA"/>
              </w:rPr>
            </w:pPr>
            <w:r>
              <w:rPr>
                <w:rFonts w:cs="Times New Roman" w:ascii="Times New Roman" w:hAnsi="Times New Roman"/>
                <w:b/>
                <w:sz w:val="22"/>
                <w:szCs w:val="22"/>
                <w:lang w:val="ru-RU" w:eastAsia="uk-UA"/>
              </w:rPr>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sz w:val="22"/>
                <w:szCs w:val="22"/>
              </w:rPr>
            </w:pPr>
            <w:r>
              <w:rPr>
                <w:rFonts w:cs="Times New Roman" w:ascii="Times New Roman" w:hAnsi="Times New Roman"/>
                <w:sz w:val="22"/>
                <w:szCs w:val="22"/>
              </w:rPr>
              <w:t>Т</w:t>
            </w:r>
            <w:r>
              <w:rPr>
                <w:rFonts w:cs="Times New Roman" w:ascii="Times New Roman" w:hAnsi="Times New Roman"/>
                <w:sz w:val="22"/>
                <w:szCs w:val="22"/>
                <w:lang w:val="ru-RU"/>
              </w:rPr>
              <w:t xml:space="preserve">ендерні пропозиції вважаються дійсними протягом </w:t>
            </w:r>
            <w:r>
              <w:rPr>
                <w:rFonts w:cs="Times New Roman" w:ascii="Times New Roman" w:hAnsi="Times New Roman"/>
                <w:sz w:val="22"/>
                <w:szCs w:val="22"/>
              </w:rPr>
              <w:t>9</w:t>
            </w:r>
            <w:r>
              <w:rPr>
                <w:rFonts w:cs="Times New Roman" w:ascii="Times New Roman" w:hAnsi="Times New Roman"/>
                <w:sz w:val="22"/>
                <w:szCs w:val="22"/>
                <w:lang w:val="ru-RU"/>
              </w:rPr>
              <w:t xml:space="preserve">0 днів із дати кінцевого строку подання тендерних пропозицій. </w:t>
            </w:r>
            <w:r>
              <w:rPr>
                <w:rFonts w:cs="Times New Roman" w:ascii="Times New Roman" w:hAnsi="Times New Roman"/>
                <w:sz w:val="22"/>
                <w:szCs w:val="22"/>
              </w:rPr>
              <w:t> </w:t>
            </w:r>
            <w:r>
              <w:rPr>
                <w:rFonts w:cs="Times New Roman" w:ascii="Times New Roman" w:hAnsi="Times New Roman"/>
                <w:sz w:val="22"/>
                <w:szCs w:val="22"/>
                <w:lang w:val="ru-RU"/>
              </w:rPr>
              <w:t xml:space="preserve">До закінчення цього строку </w:t>
            </w:r>
            <w:r>
              <w:rPr>
                <w:rFonts w:cs="Times New Roman" w:ascii="Times New Roman" w:hAnsi="Times New Roman"/>
                <w:sz w:val="22"/>
                <w:szCs w:val="22"/>
              </w:rPr>
              <w:t>З</w:t>
            </w:r>
            <w:r>
              <w:rPr>
                <w:rFonts w:cs="Times New Roman" w:ascii="Times New Roman" w:hAnsi="Times New Roman"/>
                <w:sz w:val="22"/>
                <w:szCs w:val="22"/>
                <w:lang w:val="ru-RU"/>
              </w:rPr>
              <w:t>амовник має право вимагати</w:t>
            </w:r>
            <w:r>
              <w:rPr>
                <w:rFonts w:cs="Times New Roman" w:ascii="Times New Roman" w:hAnsi="Times New Roman"/>
                <w:sz w:val="22"/>
                <w:szCs w:val="22"/>
              </w:rPr>
              <w:t xml:space="preserve"> </w:t>
            </w:r>
            <w:r>
              <w:rPr>
                <w:rFonts w:cs="Times New Roman" w:ascii="Times New Roman" w:hAnsi="Times New Roman"/>
                <w:sz w:val="22"/>
                <w:szCs w:val="22"/>
                <w:lang w:val="ru-RU"/>
              </w:rPr>
              <w:t xml:space="preserve">від </w:t>
            </w:r>
            <w:r>
              <w:rPr>
                <w:rFonts w:cs="Times New Roman" w:ascii="Times New Roman" w:hAnsi="Times New Roman"/>
                <w:sz w:val="22"/>
                <w:szCs w:val="22"/>
              </w:rPr>
              <w:t>У</w:t>
            </w:r>
            <w:r>
              <w:rPr>
                <w:rFonts w:cs="Times New Roman" w:ascii="Times New Roman" w:hAnsi="Times New Roman"/>
                <w:sz w:val="22"/>
                <w:szCs w:val="22"/>
                <w:lang w:val="ru-RU"/>
              </w:rPr>
              <w:t xml:space="preserve">часників </w:t>
            </w:r>
            <w:r>
              <w:rPr>
                <w:rFonts w:cs="Times New Roman" w:ascii="Times New Roman" w:hAnsi="Times New Roman"/>
                <w:sz w:val="22"/>
                <w:szCs w:val="22"/>
              </w:rPr>
              <w:t xml:space="preserve">процедури закупівлі </w:t>
            </w:r>
            <w:r>
              <w:rPr>
                <w:rFonts w:cs="Times New Roman" w:ascii="Times New Roman" w:hAnsi="Times New Roman"/>
                <w:sz w:val="22"/>
                <w:szCs w:val="22"/>
                <w:lang w:val="ru-RU"/>
              </w:rPr>
              <w:t>продовження строку дії тендерних пропозицій</w:t>
            </w:r>
            <w:r>
              <w:rPr>
                <w:rFonts w:cs="Times New Roman" w:ascii="Times New Roman" w:hAnsi="Times New Roman"/>
                <w:sz w:val="22"/>
                <w:szCs w:val="22"/>
              </w:rPr>
              <w:t>.</w:t>
            </w:r>
          </w:p>
          <w:p>
            <w:pPr>
              <w:pStyle w:val="15"/>
              <w:widowControl w:val="false"/>
              <w:spacing w:lineRule="auto" w:line="240" w:before="0" w:after="0"/>
              <w:rPr>
                <w:sz w:val="22"/>
                <w:szCs w:val="22"/>
              </w:rPr>
            </w:pPr>
            <w:r>
              <w:rPr>
                <w:rFonts w:cs="Times New Roman" w:ascii="Times New Roman" w:hAnsi="Times New Roman"/>
                <w:sz w:val="22"/>
                <w:szCs w:val="22"/>
              </w:rPr>
              <w:t>У</w:t>
            </w:r>
            <w:r>
              <w:rPr>
                <w:rFonts w:cs="Times New Roman" w:ascii="Times New Roman" w:hAnsi="Times New Roman"/>
                <w:sz w:val="22"/>
                <w:szCs w:val="22"/>
                <w:lang w:val="ru-RU"/>
              </w:rPr>
              <w:t>часник має право:</w:t>
            </w:r>
          </w:p>
          <w:p>
            <w:pPr>
              <w:pStyle w:val="15"/>
              <w:widowControl w:val="false"/>
              <w:spacing w:lineRule="auto" w:line="240" w:before="0" w:after="0"/>
              <w:rPr>
                <w:sz w:val="22"/>
                <w:szCs w:val="22"/>
              </w:rPr>
            </w:pPr>
            <w:r>
              <w:rPr>
                <w:rFonts w:cs="Times New Roman" w:ascii="Times New Roman" w:hAnsi="Times New Roman"/>
                <w:sz w:val="22"/>
                <w:szCs w:val="22"/>
              </w:rPr>
              <w:t xml:space="preserve">- </w:t>
            </w:r>
            <w:r>
              <w:rPr>
                <w:rFonts w:cs="Times New Roman" w:ascii="Times New Roman" w:hAnsi="Times New Roman"/>
                <w:sz w:val="22"/>
                <w:szCs w:val="22"/>
                <w:lang w:val="ru-RU"/>
              </w:rPr>
              <w:t>відхилити таку вимогу, не втрачаючи при цьому наданого ним забезпечення тендерної пропозиції (якщо воно вимагається Замовником);</w:t>
            </w:r>
          </w:p>
          <w:p>
            <w:pPr>
              <w:pStyle w:val="15"/>
              <w:widowControl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pStyle w:val="Normal"/>
              <w:widowControl w:val="false"/>
              <w:ind w:firstLine="567"/>
              <w:jc w:val="both"/>
              <w:rPr>
                <w:color w:val="000000"/>
                <w:sz w:val="22"/>
                <w:szCs w:val="22"/>
                <w:lang w:val="uk-UA"/>
              </w:rPr>
            </w:pPr>
            <w:r>
              <w:rPr>
                <w:color w:val="00000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4"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5</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hanging="0"/>
              <w:rPr>
                <w:rFonts w:ascii="Times New Roman" w:hAnsi="Times New Roman" w:cs="Times New Roman"/>
                <w:sz w:val="22"/>
                <w:szCs w:val="22"/>
              </w:rPr>
            </w:pPr>
            <w:r>
              <w:rPr>
                <w:rFonts w:cs="Times New Roman" w:ascii="Times New Roman" w:hAnsi="Times New Roman"/>
                <w:b/>
                <w:bCs/>
                <w:color w:val="000000"/>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pPr>
              <w:pStyle w:val="15"/>
              <w:widowControl w:val="false"/>
              <w:spacing w:lineRule="auto" w:line="240" w:before="0" w:after="0"/>
              <w:ind w:left="113" w:right="113" w:firstLine="737"/>
              <w:rPr>
                <w:rFonts w:ascii="Times New Roman" w:hAnsi="Times New Roman" w:cs="Times New Roman"/>
                <w:sz w:val="22"/>
                <w:szCs w:val="22"/>
              </w:rPr>
            </w:pPr>
            <w:r>
              <w:rPr>
                <w:rFonts w:cs="Times New Roman" w:ascii="Times New Roman" w:hAnsi="Times New Roman"/>
                <w:bCs/>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right="0" w:firstLine="567"/>
              <w:jc w:val="both"/>
              <w:rPr>
                <w:sz w:val="22"/>
                <w:szCs w:val="22"/>
              </w:rPr>
            </w:pPr>
            <w:r>
              <w:rPr>
                <w:rFonts w:cs="Times New Roman"/>
                <w:sz w:val="22"/>
                <w:szCs w:val="22"/>
                <w:shd w:fill="auto" w:val="clear"/>
                <w:lang w:val="uk-UA"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Pr>
                <w:rFonts w:cs="Times New Roman"/>
                <w:sz w:val="22"/>
                <w:szCs w:val="22"/>
                <w:shd w:fill="auto" w:val="clear"/>
                <w:lang w:eastAsia="en-US"/>
              </w:rPr>
              <w:t xml:space="preserve"> </w:t>
            </w:r>
            <w:r>
              <w:rPr>
                <w:rFonts w:cs="Times New Roman"/>
                <w:sz w:val="22"/>
                <w:szCs w:val="22"/>
                <w:shd w:fill="auto" w:val="clear"/>
                <w:lang w:val="uk-UA" w:eastAsia="en-US"/>
              </w:rPr>
              <w:t>16 Закону.</w:t>
            </w:r>
          </w:p>
          <w:p>
            <w:pPr>
              <w:pStyle w:val="Style38"/>
              <w:widowControl w:val="false"/>
              <w:spacing w:lineRule="auto" w:line="240" w:before="0" w:after="0"/>
              <w:ind w:left="0" w:right="0" w:firstLine="567"/>
              <w:jc w:val="both"/>
              <w:rPr>
                <w:rFonts w:ascii="Times New Roman" w:hAnsi="Times New Roman" w:cs="Times New Roman"/>
                <w:sz w:val="22"/>
                <w:szCs w:val="22"/>
                <w:shd w:fill="auto" w:val="clear"/>
                <w:lang w:val="uk-UA" w:eastAsia="en-US"/>
              </w:rPr>
            </w:pPr>
            <w:r>
              <w:rPr>
                <w:rFonts w:cs="Times New Roman" w:ascii="Times New Roman" w:hAnsi="Times New Roman"/>
                <w:sz w:val="22"/>
                <w:szCs w:val="22"/>
                <w:shd w:fill="auto" w:val="clear"/>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15"/>
              <w:widowControl w:val="false"/>
              <w:shd w:val="clear" w:fill="FFFFFF"/>
              <w:spacing w:lineRule="auto" w:line="240" w:before="0" w:after="0"/>
              <w:ind w:left="72" w:right="0" w:firstLine="439"/>
              <w:rPr>
                <w:rFonts w:ascii="Times New Roman" w:hAnsi="Times New Roman" w:cs="Times New Roman"/>
                <w:sz w:val="22"/>
                <w:szCs w:val="22"/>
                <w:shd w:fill="auto" w:val="clear"/>
              </w:rPr>
            </w:pPr>
            <w:r>
              <w:rPr>
                <w:rFonts w:cs="Times New Roman" w:ascii="Times New Roman" w:hAnsi="Times New Roman"/>
                <w:sz w:val="22"/>
                <w:szCs w:val="22"/>
                <w:shd w:fill="auto" w:val="clear"/>
              </w:rPr>
              <w:t>Замовник зазначає вимоги, встановлені статтею 17  Закону, та інформацію про спосіб підтвердження відповідності Учасників встановленим вимогам згідно із законодавством.</w:t>
            </w:r>
          </w:p>
          <w:p>
            <w:pPr>
              <w:pStyle w:val="15"/>
              <w:widowControl w:val="false"/>
              <w:spacing w:lineRule="auto" w:line="240" w:before="0" w:after="0"/>
              <w:ind w:left="86" w:right="113" w:firstLine="439"/>
              <w:rPr>
                <w:rFonts w:ascii="Times New Roman" w:hAnsi="Times New Roman" w:cs="Times New Roman"/>
                <w:sz w:val="22"/>
                <w:szCs w:val="22"/>
                <w:shd w:fill="auto" w:val="clear"/>
              </w:rPr>
            </w:pPr>
            <w:r>
              <w:rPr>
                <w:rFonts w:cs="Times New Roman" w:ascii="Times New Roman" w:hAnsi="Times New Roman"/>
                <w:sz w:val="22"/>
                <w:szCs w:val="22"/>
                <w:shd w:fill="auto" w:val="clear"/>
              </w:rPr>
              <w:t>Перелік документів, що подаються Учасником для підтвердження відповідності пропозиції Учасника кваліфікаційним критеріям та іншим вимогам, зазначені в Додатку 2 до тендерної документації.</w:t>
            </w:r>
          </w:p>
          <w:p>
            <w:pPr>
              <w:pStyle w:val="15"/>
              <w:widowControl w:val="false"/>
              <w:spacing w:lineRule="auto" w:line="240" w:before="0" w:after="0"/>
              <w:ind w:left="86" w:right="113" w:firstLine="425"/>
              <w:rPr>
                <w:rFonts w:ascii="Times New Roman" w:hAnsi="Times New Roman" w:cs="Times New Roman"/>
                <w:sz w:val="22"/>
                <w:szCs w:val="22"/>
                <w:shd w:fill="auto" w:val="clear"/>
              </w:rPr>
            </w:pPr>
            <w:r>
              <w:rPr>
                <w:rFonts w:cs="Times New Roman" w:ascii="Times New Roman" w:hAnsi="Times New Roman"/>
                <w:sz w:val="22"/>
                <w:szCs w:val="22"/>
                <w:shd w:fill="auto" w:val="clear"/>
              </w:rPr>
              <w:t>Учасник-переможець надає документально підтверджену інформацію щодо відсутності підстав, визначених у статті 17 Закону (згідно з Додатком 2 до тендерної документації).</w:t>
            </w:r>
          </w:p>
          <w:p>
            <w:pPr>
              <w:pStyle w:val="15"/>
              <w:widowControl w:val="false"/>
              <w:spacing w:lineRule="auto" w:line="240" w:before="0" w:after="0"/>
              <w:ind w:left="86" w:right="113" w:firstLine="425"/>
              <w:rPr>
                <w:color w:val="auto"/>
                <w:sz w:val="22"/>
                <w:szCs w:val="22"/>
                <w:shd w:fill="auto" w:val="clear"/>
              </w:rPr>
            </w:pPr>
            <w:r>
              <w:rPr>
                <w:rFonts w:cs="Times New Roman" w:ascii="Times New Roman" w:hAnsi="Times New Roman"/>
                <w:color w:val="000000"/>
                <w:sz w:val="22"/>
                <w:szCs w:val="22"/>
                <w:shd w:fill="auto" w:val="clear"/>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cs="Times New Roman" w:ascii="Times New Roman" w:hAnsi="Times New Roman"/>
                <w:color w:val="000000"/>
                <w:sz w:val="22"/>
                <w:szCs w:val="22"/>
                <w:shd w:fill="auto" w:val="clear"/>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15"/>
              <w:widowControl w:val="false"/>
              <w:shd w:val="clear" w:fill="FFFFFF"/>
              <w:spacing w:lineRule="auto" w:line="240" w:before="0" w:after="0"/>
              <w:rPr>
                <w:rFonts w:ascii="Times New Roman" w:hAnsi="Times New Roman" w:cs="Times New Roman"/>
                <w:color w:val="000000"/>
                <w:sz w:val="22"/>
                <w:szCs w:val="22"/>
                <w:shd w:fill="auto" w:val="clear"/>
              </w:rPr>
            </w:pPr>
            <w:r>
              <w:rPr>
                <w:rFonts w:cs="Times New Roman" w:ascii="Times New Roman" w:hAnsi="Times New Roman"/>
                <w:color w:val="000000"/>
                <w:sz w:val="22"/>
                <w:szCs w:val="22"/>
                <w:shd w:fill="auto" w:val="clear"/>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15"/>
              <w:widowControl w:val="false"/>
              <w:shd w:val="clear" w:fill="FFFFFF"/>
              <w:spacing w:lineRule="auto" w:line="240" w:before="0" w:after="0"/>
              <w:rPr>
                <w:rFonts w:ascii="Times New Roman" w:hAnsi="Times New Roman" w:cs="Times New Roman"/>
                <w:color w:val="000000"/>
                <w:sz w:val="22"/>
                <w:szCs w:val="22"/>
                <w:shd w:fill="auto" w:val="clear"/>
              </w:rPr>
            </w:pPr>
            <w:r>
              <w:rPr>
                <w:rFonts w:cs="Times New Roman" w:ascii="Times New Roman" w:hAnsi="Times New Roman"/>
                <w:color w:val="000000"/>
                <w:sz w:val="22"/>
                <w:szCs w:val="22"/>
                <w:shd w:fill="auto" w:val="clear"/>
              </w:rPr>
              <w:t>Для підтвердження відповідності учасника кваліфікаційним критеріям, Учасник подає згідно цієї документації всі документи відповідно до вимог Додатку 2 тендерної документації.</w:t>
            </w:r>
          </w:p>
          <w:p>
            <w:pPr>
              <w:pStyle w:val="15"/>
              <w:widowControl w:val="false"/>
              <w:shd w:val="clear" w:fill="FFFFFF"/>
              <w:spacing w:lineRule="auto" w:line="240" w:before="0" w:after="0"/>
              <w:rPr/>
            </w:pPr>
            <w:r>
              <w:rPr>
                <w:rStyle w:val="Rvts0"/>
                <w:rFonts w:cs="Times New Roman" w:ascii="Times New Roman" w:hAnsi="Times New Roman"/>
                <w:sz w:val="22"/>
                <w:szCs w:val="22"/>
                <w:shd w:fill="auto" w:val="clear"/>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pacing w:before="0" w:after="0"/>
              <w:ind w:left="0" w:right="0" w:firstLine="567"/>
              <w:jc w:val="both"/>
              <w:rPr>
                <w:color w:val="000000"/>
                <w:sz w:val="22"/>
                <w:szCs w:val="22"/>
                <w:shd w:fill="FFFFFF" w:val="clear"/>
              </w:rPr>
            </w:pPr>
            <w:r>
              <w:rPr>
                <w:rFonts w:cs="Times New Roman"/>
                <w:color w:val="000000"/>
                <w:sz w:val="22"/>
                <w:szCs w:val="22"/>
                <w:shd w:fill="FFFFFF" w:val="clear"/>
                <w:lang w:eastAsia="en-US"/>
              </w:rPr>
              <w:t xml:space="preserve">Учасник процедури закупівлі підтверджує відсутність підстав, зазначених в абзаці першому  пункту </w:t>
            </w:r>
            <w:r>
              <w:rPr>
                <w:rFonts w:cs="Times New Roman"/>
                <w:color w:val="000000"/>
                <w:sz w:val="22"/>
                <w:szCs w:val="22"/>
                <w:shd w:fill="FFFFFF" w:val="clear"/>
                <w:lang w:val="uk-UA" w:eastAsia="en-US"/>
              </w:rPr>
              <w:t>44 Постанови</w:t>
            </w:r>
            <w:r>
              <w:rPr>
                <w:rFonts w:cs="Times New Roman"/>
                <w:color w:val="000000"/>
                <w:sz w:val="22"/>
                <w:szCs w:val="22"/>
                <w:shd w:fill="FFFFFF" w:val="clear"/>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fill="FFFFFF"/>
              <w:spacing w:lineRule="auto" w:line="240" w:before="0" w:after="0"/>
              <w:ind w:left="0" w:right="0" w:firstLine="567"/>
              <w:jc w:val="both"/>
              <w:rPr>
                <w:color w:val="000000"/>
                <w:sz w:val="22"/>
                <w:szCs w:val="22"/>
                <w:shd w:fill="FFFFFF" w:val="clear"/>
              </w:rPr>
            </w:pPr>
            <w:r>
              <w:rPr>
                <w:rFonts w:cs="Times New Roman"/>
                <w:color w:val="000000"/>
                <w:sz w:val="22"/>
                <w:szCs w:val="22"/>
                <w:shd w:fill="FFFFFF" w:val="clear"/>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w:t>
            </w:r>
            <w:r>
              <w:rPr>
                <w:rFonts w:cs="Times New Roman"/>
                <w:color w:val="000000"/>
                <w:sz w:val="22"/>
                <w:szCs w:val="22"/>
                <w:shd w:fill="FFFFFF" w:val="clear"/>
                <w:lang w:val="uk-UA" w:eastAsia="en-US"/>
              </w:rPr>
              <w:t>44 Постанови</w:t>
            </w:r>
            <w:r>
              <w:rPr>
                <w:rFonts w:cs="Times New Roman"/>
                <w:color w:val="000000"/>
                <w:sz w:val="22"/>
                <w:szCs w:val="22"/>
                <w:shd w:fill="FFFFFF" w:val="clear"/>
                <w:lang w:eastAsia="en-US"/>
              </w:rPr>
              <w:t xml:space="preserve">, крім самостійного декларування відсутності таких підстав учасником процедури закупівлі відповідно до абзацу четвертого пункту </w:t>
            </w:r>
            <w:r>
              <w:rPr>
                <w:rFonts w:cs="Times New Roman"/>
                <w:color w:val="000000"/>
                <w:sz w:val="22"/>
                <w:szCs w:val="22"/>
                <w:shd w:fill="FFFFFF" w:val="clear"/>
                <w:lang w:val="uk-UA" w:eastAsia="en-US"/>
              </w:rPr>
              <w:t>44 Постанови</w:t>
            </w:r>
            <w:r>
              <w:rPr>
                <w:rFonts w:cs="Times New Roman"/>
                <w:color w:val="000000"/>
                <w:sz w:val="22"/>
                <w:szCs w:val="22"/>
                <w:shd w:fill="FFFFFF" w:val="clear"/>
                <w:lang w:eastAsia="en-US"/>
              </w:rPr>
              <w:t>.</w:t>
            </w:r>
          </w:p>
          <w:p>
            <w:pPr>
              <w:pStyle w:val="Normal"/>
              <w:widowControl w:val="false"/>
              <w:shd w:val="clear" w:fill="FFFFFF"/>
              <w:spacing w:lineRule="auto" w:line="240" w:before="0" w:after="0"/>
              <w:ind w:left="0" w:right="0" w:firstLine="567"/>
              <w:jc w:val="both"/>
              <w:rPr/>
            </w:pPr>
            <w:r>
              <w:rPr>
                <w:rFonts w:cs="Times New Roman"/>
                <w:b w:val="false"/>
                <w:i w:val="false"/>
                <w:caps w:val="false"/>
                <w:smallCaps w:val="false"/>
                <w:color w:val="000000"/>
                <w:spacing w:val="0"/>
                <w:sz w:val="22"/>
                <w:szCs w:val="22"/>
                <w:u w:val="none"/>
                <w:shd w:fill="auto" w:val="clear"/>
                <w:lang w:eastAsia="en-US"/>
              </w:rPr>
              <w:t>У разі коли учасник процедури закупівлі має намір залучити інших суб’єктів господарювання як субпідрядників/ </w:t>
            </w:r>
            <w:r>
              <w:fldChar w:fldCharType="begin"/>
            </w:r>
            <w:r>
              <w:rPr>
                <w:smallCaps w:val="false"/>
                <w:caps w:val="false"/>
                <w:sz w:val="22"/>
                <w:spacing w:val="0"/>
                <w:i w:val="false"/>
                <w:u w:val="none"/>
                <w:b w:val="false"/>
                <w:shd w:fill="auto" w:val="clear"/>
                <w:szCs w:val="22"/>
                <w:rFonts w:cs="Times New Roman"/>
                <w:color w:val="000000"/>
                <w:lang w:eastAsia="en-US"/>
              </w:rPr>
              <w:instrText> HYPERLINK "https://zakon.rada.gov.ua/laws/show/1178-2022-п?find=1&amp;text=співвиконавц" \l "w1_2"</w:instrText>
            </w:r>
            <w:r>
              <w:rPr>
                <w:smallCaps w:val="false"/>
                <w:caps w:val="false"/>
                <w:sz w:val="22"/>
                <w:spacing w:val="0"/>
                <w:i w:val="false"/>
                <w:u w:val="none"/>
                <w:b w:val="false"/>
                <w:shd w:fill="auto" w:val="clear"/>
                <w:szCs w:val="22"/>
                <w:rFonts w:cs="Times New Roman"/>
                <w:color w:val="000000"/>
                <w:lang w:eastAsia="en-US"/>
              </w:rPr>
              <w:fldChar w:fldCharType="separate"/>
            </w:r>
            <w:r>
              <w:rPr>
                <w:rFonts w:cs="Times New Roman"/>
                <w:b w:val="false"/>
                <w:i w:val="false"/>
                <w:caps w:val="false"/>
                <w:smallCaps w:val="false"/>
                <w:color w:val="000000"/>
                <w:spacing w:val="0"/>
                <w:sz w:val="22"/>
                <w:szCs w:val="22"/>
                <w:u w:val="none"/>
                <w:shd w:fill="auto" w:val="clear"/>
                <w:lang w:eastAsia="en-US"/>
              </w:rPr>
              <w:t>співвиконавц</w:t>
            </w:r>
            <w:r>
              <w:rPr>
                <w:smallCaps w:val="false"/>
                <w:caps w:val="false"/>
                <w:sz w:val="22"/>
                <w:spacing w:val="0"/>
                <w:i w:val="false"/>
                <w:u w:val="none"/>
                <w:b w:val="false"/>
                <w:shd w:fill="auto" w:val="clear"/>
                <w:szCs w:val="22"/>
                <w:rFonts w:cs="Times New Roman"/>
                <w:color w:val="000000"/>
                <w:lang w:eastAsia="en-US"/>
              </w:rPr>
              <w:fldChar w:fldCharType="end"/>
            </w:r>
            <w:r>
              <w:rPr>
                <w:rFonts w:cs="Times New Roman"/>
                <w:b w:val="false"/>
                <w:i w:val="false"/>
                <w:caps w:val="false"/>
                <w:smallCaps w:val="false"/>
                <w:color w:val="000000"/>
                <w:spacing w:val="0"/>
                <w:sz w:val="22"/>
                <w:szCs w:val="22"/>
                <w:u w:val="none"/>
                <w:shd w:fill="auto" w:val="clear"/>
                <w:lang w:eastAsia="en-US"/>
              </w:rPr>
              <w:t>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4">
              <w:r>
                <w:rPr>
                  <w:rFonts w:cs="Times New Roman"/>
                  <w:b w:val="false"/>
                  <w:i w:val="false"/>
                  <w:caps w:val="false"/>
                  <w:smallCaps w:val="false"/>
                  <w:color w:val="000000"/>
                  <w:spacing w:val="0"/>
                  <w:sz w:val="22"/>
                  <w:szCs w:val="22"/>
                  <w:u w:val="none"/>
                  <w:shd w:fill="auto" w:val="clear"/>
                  <w:lang w:eastAsia="en-US"/>
                </w:rPr>
                <w:t>частини третьої</w:t>
              </w:r>
            </w:hyperlink>
            <w:r>
              <w:rPr>
                <w:rFonts w:cs="Times New Roman"/>
                <w:caps w:val="false"/>
                <w:smallCaps w:val="false"/>
                <w:color w:val="000000"/>
                <w:spacing w:val="0"/>
                <w:sz w:val="22"/>
                <w:szCs w:val="22"/>
                <w:u w:val="none"/>
                <w:shd w:fill="auto" w:val="clear"/>
                <w:lang w:eastAsia="en-US"/>
              </w:rPr>
              <w:t> </w:t>
            </w:r>
            <w:r>
              <w:rPr>
                <w:rFonts w:cs="Times New Roman"/>
                <w:b w:val="false"/>
                <w:i w:val="false"/>
                <w:caps w:val="false"/>
                <w:smallCaps w:val="false"/>
                <w:color w:val="000000"/>
                <w:spacing w:val="0"/>
                <w:sz w:val="22"/>
                <w:szCs w:val="22"/>
                <w:u w:val="none"/>
                <w:shd w:fill="auto" w:val="clear"/>
                <w:lang w:eastAsia="en-US"/>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5">
              <w:r>
                <w:rPr>
                  <w:rFonts w:cs="Times New Roman"/>
                  <w:b w:val="false"/>
                  <w:i w:val="false"/>
                  <w:caps w:val="false"/>
                  <w:smallCaps w:val="false"/>
                  <w:color w:val="000000"/>
                  <w:spacing w:val="0"/>
                  <w:sz w:val="22"/>
                  <w:szCs w:val="22"/>
                  <w:u w:val="none"/>
                  <w:shd w:fill="auto" w:val="clear"/>
                  <w:lang w:eastAsia="en-US"/>
                </w:rPr>
                <w:t>частині першій</w:t>
              </w:r>
            </w:hyperlink>
            <w:r>
              <w:rPr>
                <w:rFonts w:cs="Times New Roman"/>
                <w:caps w:val="false"/>
                <w:smallCaps w:val="false"/>
                <w:color w:val="000000"/>
                <w:spacing w:val="0"/>
                <w:sz w:val="22"/>
                <w:szCs w:val="22"/>
                <w:u w:val="none"/>
                <w:shd w:fill="auto" w:val="clear"/>
                <w:lang w:eastAsia="en-US"/>
              </w:rPr>
              <w:t> </w:t>
            </w:r>
            <w:r>
              <w:rPr>
                <w:rFonts w:cs="Times New Roman"/>
                <w:b w:val="false"/>
                <w:i w:val="false"/>
                <w:caps w:val="false"/>
                <w:smallCaps w:val="false"/>
                <w:color w:val="000000"/>
                <w:spacing w:val="0"/>
                <w:sz w:val="22"/>
                <w:szCs w:val="22"/>
                <w:u w:val="none"/>
                <w:shd w:fill="auto" w:val="clear"/>
                <w:lang w:eastAsia="en-US"/>
              </w:rPr>
              <w:t>статті 17 Закону (крім </w:t>
            </w:r>
            <w:hyperlink r:id="rId6">
              <w:r>
                <w:rPr>
                  <w:rFonts w:cs="Times New Roman"/>
                  <w:b w:val="false"/>
                  <w:i w:val="false"/>
                  <w:caps w:val="false"/>
                  <w:smallCaps w:val="false"/>
                  <w:color w:val="000000"/>
                  <w:spacing w:val="0"/>
                  <w:sz w:val="22"/>
                  <w:szCs w:val="22"/>
                  <w:u w:val="none"/>
                  <w:shd w:fill="auto" w:val="clear"/>
                  <w:lang w:eastAsia="en-US"/>
                </w:rPr>
                <w:t>пункту 13</w:t>
              </w:r>
            </w:hyperlink>
            <w:r>
              <w:rPr>
                <w:rFonts w:cs="Times New Roman"/>
                <w:caps w:val="false"/>
                <w:smallCaps w:val="false"/>
                <w:color w:val="000000"/>
                <w:spacing w:val="0"/>
                <w:sz w:val="22"/>
                <w:szCs w:val="22"/>
                <w:u w:val="none"/>
                <w:shd w:fill="auto" w:val="clear"/>
                <w:lang w:eastAsia="en-US"/>
              </w:rPr>
              <w:t> </w:t>
            </w:r>
            <w:r>
              <w:rPr>
                <w:rFonts w:cs="Times New Roman"/>
                <w:b w:val="false"/>
                <w:i w:val="false"/>
                <w:caps w:val="false"/>
                <w:smallCaps w:val="false"/>
                <w:color w:val="000000"/>
                <w:spacing w:val="0"/>
                <w:sz w:val="22"/>
                <w:szCs w:val="22"/>
                <w:u w:val="none"/>
                <w:shd w:fill="auto" w:val="clear"/>
                <w:lang w:eastAsia="en-US"/>
              </w:rPr>
              <w:t>частини першої статті 17 Закону).</w:t>
            </w:r>
          </w:p>
          <w:p>
            <w:pPr>
              <w:pStyle w:val="Normal"/>
              <w:widowControl w:val="false"/>
              <w:shd w:val="clear" w:fill="FFFFFF"/>
              <w:spacing w:lineRule="auto" w:line="240" w:before="0" w:after="0"/>
              <w:ind w:left="0" w:right="0" w:firstLine="567"/>
              <w:jc w:val="both"/>
              <w:rPr>
                <w:color w:val="000000"/>
                <w:sz w:val="22"/>
                <w:szCs w:val="22"/>
                <w:shd w:fill="FFFFFF" w:val="clear"/>
              </w:rPr>
            </w:pPr>
            <w:r>
              <w:rPr>
                <w:rFonts w:cs="Times New Roman"/>
                <w:b w:val="false"/>
                <w:i w:val="false"/>
                <w:caps w:val="false"/>
                <w:smallCaps w:val="false"/>
                <w:color w:val="000000"/>
                <w:spacing w:val="0"/>
                <w:sz w:val="22"/>
                <w:szCs w:val="22"/>
                <w:u w:val="none"/>
                <w:shd w:fill="auto" w:val="clear"/>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bCs/>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3"/>
              <w:rPr>
                <w:sz w:val="22"/>
                <w:szCs w:val="22"/>
              </w:rPr>
            </w:pPr>
            <w:r>
              <w:rPr>
                <w:rFonts w:cs="Times New Roman" w:ascii="Times New Roman" w:hAnsi="Times New Roman"/>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технічним, якісним, кількісним та іншим вимогам до предмета закупівлі (згідно з Додатком 3</w:t>
            </w:r>
            <w:r>
              <w:rPr>
                <w:rFonts w:cs="Times New Roman" w:ascii="Times New Roman" w:hAnsi="Times New Roman"/>
                <w:sz w:val="22"/>
                <w:szCs w:val="22"/>
              </w:rPr>
              <w:t xml:space="preserve"> до тендерної документації</w:t>
            </w:r>
            <w:r>
              <w:rPr>
                <w:rFonts w:cs="Times New Roman" w:ascii="Times New Roman" w:hAnsi="Times New Roman"/>
                <w:sz w:val="22"/>
                <w:szCs w:val="22"/>
                <w:lang w:eastAsia="uk-UA"/>
              </w:rPr>
              <w:t>).</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iCs/>
                <w:sz w:val="22"/>
                <w:szCs w:val="22"/>
              </w:rPr>
            </w:pPr>
            <w:r>
              <w:rPr>
                <w:rFonts w:cs="Times New Roman" w:ascii="Times New Roman" w:hAnsi="Times New Roman"/>
                <w:b/>
                <w:bCs/>
                <w:iCs/>
                <w:color w:val="000000"/>
                <w:sz w:val="22"/>
                <w:szCs w:val="22"/>
              </w:rPr>
              <w:t>Інформація про субпідрядника /співвиконавця (у випадку закупівлі робіт чи послуг)</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jc w:val="both"/>
              <w:rPr>
                <w:iCs/>
                <w:sz w:val="22"/>
                <w:szCs w:val="22"/>
                <w:lang w:val="uk-UA"/>
              </w:rPr>
            </w:pPr>
            <w:r>
              <w:rPr>
                <w:iCs/>
                <w:color w:val="000000"/>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8</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Унесення змін або відкликання тендерної пропозиції учасником</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rFonts w:ascii="Times New Roman" w:hAnsi="Times New Roman" w:cs="Times New Roman"/>
                <w:sz w:val="22"/>
                <w:szCs w:val="22"/>
              </w:rPr>
            </w:pPr>
            <w:r>
              <w:rPr>
                <w:rFonts w:cs="Times New Roman" w:ascii="Times New Roman" w:hAnsi="Times New Roman"/>
                <w:sz w:val="22"/>
                <w:szCs w:val="22"/>
              </w:rPr>
              <w:t>Учасник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390"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rPr>
            </w:pPr>
            <w:r>
              <w:rPr>
                <w:rFonts w:cs="Times New Roman" w:ascii="Times New Roman" w:hAnsi="Times New Roman"/>
                <w:b/>
                <w:sz w:val="22"/>
                <w:szCs w:val="22"/>
              </w:rPr>
            </w:r>
          </w:p>
        </w:tc>
        <w:tc>
          <w:tcPr>
            <w:tcW w:w="9300" w:type="dxa"/>
            <w:gridSpan w:val="2"/>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rPr>
            </w:pPr>
            <w:r>
              <w:rPr>
                <w:rFonts w:cs="Times New Roman" w:ascii="Times New Roman" w:hAnsi="Times New Roman"/>
                <w:b/>
                <w:sz w:val="22"/>
                <w:szCs w:val="22"/>
              </w:rPr>
              <w:t>ІV. Подання та розкриття тендерної пропозиції</w:t>
            </w:r>
          </w:p>
        </w:tc>
      </w:tr>
      <w:tr>
        <w:trPr>
          <w:trHeight w:val="269" w:hRule="atLeast"/>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pPr>
            <w:r>
              <w:rPr>
                <w:rStyle w:val="Rvts0"/>
                <w:rFonts w:cs="Times New Roman" w:ascii="Times New Roman" w:hAnsi="Times New Roman"/>
                <w:b/>
                <w:sz w:val="22"/>
                <w:szCs w:val="22"/>
              </w:rPr>
              <w:t>Кінцевий строк подання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ind w:left="113" w:right="113" w:firstLine="404"/>
              <w:jc w:val="both"/>
              <w:rPr>
                <w:color w:val="000000"/>
                <w:sz w:val="22"/>
                <w:szCs w:val="22"/>
                <w:lang w:val="uk-UA"/>
              </w:rPr>
            </w:pPr>
            <w:r>
              <w:rPr>
                <w:color w:val="000000"/>
                <w:sz w:val="22"/>
                <w:szCs w:val="22"/>
                <w:lang w:val="uk-UA"/>
              </w:rPr>
              <w:t xml:space="preserve">Кінцевий строк подання тендерних пропозицій зазначається в </w:t>
            </w:r>
            <w:r>
              <w:rPr>
                <w:rFonts w:eastAsia="Arial"/>
                <w:color w:val="000000"/>
                <w:sz w:val="22"/>
                <w:szCs w:val="22"/>
                <w:lang w:val="uk-UA" w:eastAsia="uk-UA"/>
              </w:rPr>
              <w:t>оголошенні про проведення процедури відкритих торгів.</w:t>
            </w:r>
          </w:p>
          <w:p>
            <w:pPr>
              <w:pStyle w:val="Normal"/>
              <w:widowControl w:val="false"/>
              <w:ind w:firstLine="567"/>
              <w:jc w:val="both"/>
              <w:rPr>
                <w:sz w:val="22"/>
                <w:szCs w:val="22"/>
                <w:lang w:val="uk-UA"/>
              </w:rPr>
            </w:pPr>
            <w:r>
              <w:rPr>
                <w:color w:val="000000"/>
                <w:sz w:val="22"/>
                <w:szCs w:val="22"/>
                <w:lang w:val="uk-U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ind w:firstLine="567"/>
              <w:jc w:val="both"/>
              <w:rPr>
                <w:color w:val="000000"/>
                <w:sz w:val="22"/>
                <w:szCs w:val="22"/>
                <w:lang w:val="uk-UA"/>
              </w:rPr>
            </w:pPr>
            <w:r>
              <w:rPr>
                <w:color w:val="000000"/>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rPr>
            </w:pPr>
            <w:r>
              <w:rPr>
                <w:rFonts w:cs="Times New Roman" w:ascii="Times New Roman" w:hAnsi="Times New Roman"/>
                <w:b/>
                <w:sz w:val="22"/>
                <w:szCs w:val="22"/>
              </w:rPr>
              <w:t>Дата та час розкриття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567"/>
              <w:jc w:val="both"/>
              <w:rPr>
                <w:sz w:val="22"/>
                <w:szCs w:val="22"/>
                <w:lang w:val="uk-UA"/>
              </w:rPr>
            </w:pPr>
            <w:r>
              <w:rPr>
                <w:color w:val="000000"/>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firstLine="567"/>
              <w:jc w:val="both"/>
              <w:rPr>
                <w:sz w:val="22"/>
                <w:szCs w:val="22"/>
                <w:lang w:val="uk-UA"/>
              </w:rPr>
            </w:pPr>
            <w:r>
              <w:rPr>
                <w:color w:val="000000"/>
                <w:sz w:val="22"/>
                <w:szCs w:val="22"/>
                <w:lang w:val="uk-UA"/>
              </w:rPr>
              <w:t>Відкриті торги проводяться без застосування електронного аукціону.</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rPr>
            </w:pPr>
            <w:r>
              <w:rPr>
                <w:rFonts w:cs="Times New Roman" w:ascii="Times New Roman" w:hAnsi="Times New Roman"/>
                <w:b/>
                <w:sz w:val="22"/>
                <w:szCs w:val="22"/>
              </w:rPr>
              <w:t>Процедура розкриття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pPr>
              <w:pStyle w:val="Rvps2"/>
              <w:widowControl w:val="false"/>
              <w:spacing w:lineRule="auto" w:line="240" w:beforeAutospacing="0" w:before="0" w:afterAutospacing="0" w:after="0"/>
              <w:ind w:firstLine="510"/>
              <w:rPr>
                <w:rFonts w:ascii="Times New Roman" w:hAnsi="Times New Roman" w:cs="Times New Roman"/>
                <w:sz w:val="22"/>
                <w:szCs w:val="22"/>
              </w:rPr>
            </w:pPr>
            <w:r>
              <w:rPr>
                <w:rFonts w:cs="Times New Roman" w:ascii="Times New Roman" w:hAnsi="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Rvps2"/>
              <w:widowControl w:val="false"/>
              <w:spacing w:lineRule="auto" w:line="240" w:beforeAutospacing="0" w:before="0" w:afterAutospacing="0" w:after="0"/>
              <w:ind w:firstLine="510"/>
              <w:rPr>
                <w:rFonts w:ascii="Times New Roman" w:hAnsi="Times New Roman" w:cs="Times New Roman"/>
                <w:sz w:val="22"/>
                <w:szCs w:val="22"/>
              </w:rPr>
            </w:pPr>
            <w:r>
              <w:rPr>
                <w:rFonts w:cs="Times New Roman" w:ascii="Times New Roman" w:hAnsi="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Rvps2"/>
              <w:widowControl w:val="false"/>
              <w:spacing w:lineRule="auto" w:line="240" w:beforeAutospacing="0" w:before="0" w:afterAutospacing="0" w:after="0"/>
              <w:ind w:firstLine="510"/>
              <w:rPr>
                <w:rFonts w:ascii="Times New Roman" w:hAnsi="Times New Roman" w:cs="Times New Roman"/>
                <w:sz w:val="22"/>
                <w:szCs w:val="22"/>
              </w:rPr>
            </w:pPr>
            <w:r>
              <w:rPr>
                <w:rFonts w:cs="Times New Roman" w:ascii="Times New Roman" w:hAnsi="Times New Roman"/>
                <w:sz w:val="22"/>
                <w:szCs w:val="22"/>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pPr>
              <w:pStyle w:val="Rvps2"/>
              <w:widowControl w:val="false"/>
              <w:spacing w:lineRule="auto" w:line="240" w:beforeAutospacing="0" w:before="0" w:afterAutospacing="0" w:after="0"/>
              <w:ind w:firstLine="510"/>
              <w:rPr>
                <w:rFonts w:ascii="Times New Roman" w:hAnsi="Times New Roman" w:cs="Times New Roman"/>
                <w:sz w:val="22"/>
                <w:szCs w:val="22"/>
              </w:rPr>
            </w:pPr>
            <w:r>
              <w:rPr>
                <w:rFonts w:cs="Times New Roman" w:ascii="Times New Roman" w:hAnsi="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trPr>
          <w:trHeight w:val="664" w:hRule="atLeast"/>
        </w:trPr>
        <w:tc>
          <w:tcPr>
            <w:tcW w:w="10323" w:type="dxa"/>
            <w:gridSpan w:val="3"/>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b/>
                <w:b/>
                <w:sz w:val="22"/>
                <w:szCs w:val="22"/>
              </w:rPr>
            </w:pPr>
            <w:r>
              <w:rPr>
                <w:rFonts w:cs="Times New Roman" w:ascii="Times New Roman" w:hAnsi="Times New Roman"/>
                <w:b/>
                <w:sz w:val="22"/>
                <w:szCs w:val="22"/>
              </w:rPr>
              <w:t>V. Оцінка тендерної пропозиції</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08"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57"/>
              <w:rPr>
                <w:rFonts w:ascii="Times New Roman" w:hAnsi="Times New Roman" w:cs="Times New Roman"/>
                <w:b/>
                <w:b/>
                <w:sz w:val="22"/>
                <w:szCs w:val="22"/>
                <w:lang w:eastAsia="uk-UA"/>
              </w:rPr>
            </w:pPr>
            <w:r>
              <w:rPr>
                <w:rFonts w:cs="Times New Roman" w:ascii="Times New Roman" w:hAnsi="Times New Roman"/>
                <w:b/>
                <w:sz w:val="22"/>
                <w:szCs w:val="22"/>
                <w:lang w:eastAsia="uk-UA"/>
              </w:rPr>
              <w:t>Перелік критеріїв та методика оцінки тендерної пропозиції із зазначенням питомої ваги критерію</w:t>
            </w:r>
          </w:p>
        </w:tc>
        <w:tc>
          <w:tcPr>
            <w:tcW w:w="6472" w:type="dxa"/>
            <w:tcBorders>
              <w:top w:val="single" w:sz="6" w:space="0" w:color="000000"/>
              <w:left w:val="single" w:sz="6" w:space="0" w:color="000000"/>
              <w:bottom w:val="single" w:sz="6" w:space="0" w:color="000000"/>
              <w:right w:val="single" w:sz="6" w:space="0" w:color="000000"/>
            </w:tcBorders>
          </w:tcPr>
          <w:p>
            <w:pPr>
              <w:pStyle w:val="Rvps2"/>
              <w:widowControl w:val="false"/>
              <w:spacing w:lineRule="auto" w:line="240" w:beforeAutospacing="0" w:before="0" w:afterAutospacing="0" w:after="0"/>
              <w:rPr>
                <w:sz w:val="22"/>
                <w:szCs w:val="22"/>
              </w:rPr>
            </w:pPr>
            <w:r>
              <w:rPr>
                <w:rFonts w:cs="Times New Roman" w:ascii="Times New Roman" w:hAnsi="Times New Roman"/>
                <w:sz w:val="22"/>
                <w:szCs w:val="22"/>
                <w:lang w:val="ru-RU"/>
              </w:rPr>
              <w:t xml:space="preserve"> </w:t>
            </w:r>
            <w:r>
              <w:rPr>
                <w:rFonts w:cs="Times New Roman" w:ascii="Times New Roman" w:hAnsi="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Rvps2"/>
              <w:widowControl w:val="false"/>
              <w:spacing w:lineRule="auto" w:line="240" w:beforeAutospacing="0" w:before="0" w:afterAutospacing="0" w:after="0"/>
              <w:rPr>
                <w:rFonts w:ascii="Times New Roman" w:hAnsi="Times New Roman" w:cs="Times New Roman"/>
                <w:sz w:val="22"/>
                <w:szCs w:val="22"/>
              </w:rPr>
            </w:pPr>
            <w:r>
              <w:rPr>
                <w:rFonts w:cs="Times New Roman" w:ascii="Times New Roman" w:hAnsi="Times New Roman"/>
                <w:sz w:val="22"/>
                <w:szCs w:val="22"/>
              </w:rPr>
              <w:t>Єдиним критерієм оцінки є ціна з ПДВ (питома вага критерію – 100 відсотків).</w:t>
            </w:r>
          </w:p>
          <w:p>
            <w:pPr>
              <w:pStyle w:val="Rvps2"/>
              <w:widowControl w:val="false"/>
              <w:spacing w:lineRule="auto" w:line="240" w:beforeAutospacing="0" w:before="0" w:afterAutospacing="0" w:after="0"/>
              <w:rPr>
                <w:rFonts w:ascii="Times New Roman" w:hAnsi="Times New Roman" w:cs="Times New Roman"/>
                <w:sz w:val="22"/>
                <w:szCs w:val="22"/>
              </w:rPr>
            </w:pPr>
            <w:r>
              <w:rPr>
                <w:rFonts w:cs="Times New Roman" w:ascii="Times New Roman" w:hAnsi="Times New Roman"/>
                <w:sz w:val="22"/>
                <w:szCs w:val="22"/>
              </w:rPr>
              <w:t>Найбільш економічно вигідною пропозицією буде вважатися пропозиція з найнижчою ціною з урахуванням всіх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ind w:firstLine="567"/>
              <w:jc w:val="both"/>
              <w:rPr>
                <w:sz w:val="22"/>
                <w:szCs w:val="22"/>
                <w:lang w:val="uk-UA"/>
              </w:rPr>
            </w:pPr>
            <w:r>
              <w:rPr>
                <w:color w:val="000000"/>
                <w:sz w:val="22"/>
                <w:szCs w:val="22"/>
                <w:shd w:fill="FFFFFF" w:val="clear"/>
                <w:lang w:val="uk-UA"/>
              </w:rPr>
              <w:t>Замовник розглядає тендерну пропозицію, яка визначена найбільш еконо</w:t>
              <w:softHyphen/>
              <w:t>мічно вигідною відповідно до Особливостей (далі — найбільш економічно ви</w:t>
              <w:softHyphen/>
              <w:t>гідна тендерна пропозиція), щодо її відповідності вимогам тендерної документації.</w:t>
            </w:r>
          </w:p>
          <w:p>
            <w:pPr>
              <w:pStyle w:val="Normal"/>
              <w:widowControl w:val="false"/>
              <w:ind w:firstLine="567"/>
              <w:jc w:val="both"/>
              <w:rPr>
                <w:sz w:val="22"/>
                <w:szCs w:val="22"/>
                <w:lang w:val="uk-UA"/>
              </w:rPr>
            </w:pPr>
            <w:r>
              <w:rPr>
                <w:color w:val="000000"/>
                <w:sz w:val="22"/>
                <w:szCs w:val="22"/>
                <w:shd w:fill="FFFFFF" w:val="clea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softHyphen/>
              <w:t>півель найбільш економічно вигідною. Такий строк може бути аргументовано про</w:t>
              <w:softHyphen/>
              <w:t>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firstLine="567"/>
              <w:jc w:val="both"/>
              <w:rPr>
                <w:sz w:val="22"/>
                <w:szCs w:val="22"/>
                <w:lang w:val="uk-UA"/>
              </w:rPr>
            </w:pPr>
            <w:r>
              <w:rPr>
                <w:color w:val="000000"/>
                <w:sz w:val="22"/>
                <w:szCs w:val="22"/>
                <w:shd w:fill="FFFFFF" w:val="clear"/>
                <w:lang w:val="uk-UA"/>
              </w:rPr>
              <w:t>У разі відхилення замовником найбільш економічно вигідної тендерної пропози</w:t>
              <w:softHyphen/>
              <w:t>ції відповідно до цих особливостей замовник розглядає наступну тендерну пропо</w:t>
              <w:softHyphen/>
              <w:t>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ind w:firstLine="567"/>
              <w:jc w:val="both"/>
              <w:rPr>
                <w:sz w:val="22"/>
                <w:szCs w:val="22"/>
                <w:lang w:val="uk-UA"/>
              </w:rPr>
            </w:pPr>
            <w:r>
              <w:rPr>
                <w:color w:val="000000"/>
                <w:sz w:val="22"/>
                <w:szCs w:val="22"/>
                <w:shd w:fill="FFFFFF" w:val="clear"/>
                <w:lang w:val="uk-UA"/>
              </w:rPr>
              <w:t>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ind w:firstLine="567"/>
              <w:jc w:val="both"/>
              <w:rPr>
                <w:sz w:val="22"/>
                <w:szCs w:val="22"/>
                <w:lang w:val="uk-UA"/>
              </w:rPr>
            </w:pPr>
            <w:r>
              <w:rPr>
                <w:color w:val="000000"/>
                <w:sz w:val="22"/>
                <w:szCs w:val="22"/>
                <w:shd w:fill="FFFFFF" w:val="clear"/>
                <w:lang w:val="uk-UA"/>
              </w:rPr>
              <w:t>Замовник може відхилити аномально низьку тендерну пропозицію, якщо учас</w:t>
              <w:softHyphen/>
              <w:t>ник не надав належного обґрунтування зазначеної в ній ціни або вартості, та відхи</w:t>
              <w:softHyphen/>
              <w:t>ляє аномально низьку тендерну пропозицію в разі ненадходження такого обґрунту</w:t>
              <w:softHyphen/>
              <w:t>вання протягом строку, визначеного абзацом п’ятим пункту 38 Особливостей.</w:t>
            </w:r>
          </w:p>
          <w:p>
            <w:pPr>
              <w:pStyle w:val="Normal"/>
              <w:widowControl w:val="false"/>
              <w:ind w:firstLine="567"/>
              <w:jc w:val="both"/>
              <w:rPr>
                <w:sz w:val="22"/>
                <w:szCs w:val="22"/>
                <w:lang w:val="uk-UA"/>
              </w:rPr>
            </w:pPr>
            <w:r>
              <w:rPr>
                <w:sz w:val="22"/>
                <w:szCs w:val="22"/>
                <w:lang w:val="uk-UA"/>
              </w:rPr>
            </w:r>
          </w:p>
          <w:p>
            <w:pPr>
              <w:pStyle w:val="Normal"/>
              <w:widowControl w:val="false"/>
              <w:ind w:firstLine="567"/>
              <w:jc w:val="both"/>
              <w:rPr>
                <w:sz w:val="22"/>
                <w:szCs w:val="22"/>
                <w:lang w:val="uk-UA"/>
              </w:rPr>
            </w:pPr>
            <w:r>
              <w:rPr>
                <w:color w:val="000000"/>
                <w:sz w:val="22"/>
                <w:szCs w:val="22"/>
                <w:shd w:fill="FFFFFF" w:val="clear"/>
                <w:lang w:val="uk-UA"/>
              </w:rPr>
              <w:t>Обґрунтування аномально низької тендерної пропозиції може містити інформацію про:</w:t>
            </w:r>
          </w:p>
          <w:p>
            <w:pPr>
              <w:pStyle w:val="Normal"/>
              <w:widowControl w:val="false"/>
              <w:ind w:firstLine="567"/>
              <w:jc w:val="both"/>
              <w:rPr>
                <w:sz w:val="22"/>
                <w:szCs w:val="22"/>
                <w:lang w:val="uk-UA"/>
              </w:rPr>
            </w:pPr>
            <w:r>
              <w:rPr>
                <w:color w:val="000000"/>
                <w:sz w:val="22"/>
                <w:szCs w:val="22"/>
                <w:shd w:fill="FFFFFF" w:val="clea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firstLine="567"/>
              <w:jc w:val="both"/>
              <w:rPr>
                <w:sz w:val="22"/>
                <w:szCs w:val="22"/>
                <w:lang w:val="uk-UA"/>
              </w:rPr>
            </w:pPr>
            <w:r>
              <w:rPr>
                <w:color w:val="000000"/>
                <w:sz w:val="22"/>
                <w:szCs w:val="22"/>
                <w:shd w:fill="FFFFFF" w:val="clea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ind w:firstLine="567"/>
              <w:jc w:val="both"/>
              <w:rPr>
                <w:sz w:val="22"/>
                <w:szCs w:val="22"/>
                <w:lang w:val="uk-UA"/>
              </w:rPr>
            </w:pPr>
            <w:r>
              <w:rPr>
                <w:color w:val="000000"/>
                <w:sz w:val="22"/>
                <w:szCs w:val="22"/>
                <w:shd w:fill="FFFFFF" w:val="clear"/>
                <w:lang w:val="uk-UA"/>
              </w:rPr>
              <w:t>3) отримання учасником державної допомоги згідно із законодавством.</w:t>
            </w:r>
          </w:p>
          <w:p>
            <w:pPr>
              <w:pStyle w:val="Rvps2"/>
              <w:widowControl w:val="false"/>
              <w:spacing w:lineRule="auto" w:line="240" w:beforeAutospacing="0" w:before="0" w:afterAutospacing="0" w:after="0"/>
              <w:rPr>
                <w:sz w:val="22"/>
                <w:szCs w:val="22"/>
                <w:shd w:fill="auto" w:val="clear"/>
              </w:rPr>
            </w:pPr>
            <w:r>
              <w:rPr>
                <w:rFonts w:cs="Times New Roman" w:ascii="Times New Roman" w:hAnsi="Times New Roman"/>
                <w:sz w:val="22"/>
                <w:szCs w:val="22"/>
                <w:shd w:fill="auto" w:val="clear"/>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Rvps2"/>
              <w:widowControl w:val="false"/>
              <w:spacing w:lineRule="auto" w:line="240" w:beforeAutospacing="0" w:before="0" w:afterAutospacing="0" w:after="0"/>
              <w:rPr>
                <w:rFonts w:ascii="Times New Roman" w:hAnsi="Times New Roman" w:cs="Times New Roman"/>
                <w:sz w:val="22"/>
                <w:szCs w:val="22"/>
                <w:shd w:fill="auto" w:val="clear"/>
              </w:rPr>
            </w:pPr>
            <w:bookmarkStart w:id="0" w:name="n821"/>
            <w:bookmarkEnd w:id="0"/>
            <w:r>
              <w:rPr>
                <w:rFonts w:cs="Times New Roman" w:ascii="Times New Roman" w:hAnsi="Times New Roman"/>
                <w:sz w:val="22"/>
                <w:szCs w:val="22"/>
                <w:shd w:fill="auto" w:val="clea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Rvps2"/>
              <w:widowControl w:val="false"/>
              <w:spacing w:lineRule="auto" w:line="240" w:beforeAutospacing="0" w:before="0" w:afterAutospacing="0" w:after="0"/>
              <w:rPr>
                <w:sz w:val="22"/>
                <w:szCs w:val="22"/>
                <w:shd w:fill="auto" w:val="clear"/>
              </w:rPr>
            </w:pPr>
            <w:bookmarkStart w:id="1" w:name="n822"/>
            <w:bookmarkEnd w:id="1"/>
            <w:r>
              <w:rPr>
                <w:rFonts w:cs="Times New Roman" w:ascii="Times New Roman" w:hAnsi="Times New Roman"/>
                <w:sz w:val="22"/>
                <w:szCs w:val="22"/>
                <w:shd w:fill="auto" w:val="clear"/>
              </w:rPr>
              <w:t xml:space="preserve">У разі отримання достовірної інформації про </w:t>
            </w:r>
            <w:r>
              <w:rPr>
                <w:rFonts w:eastAsia="" w:cs="Times New Roman" w:ascii="Times New Roman" w:hAnsi="Times New Roman" w:eastAsiaTheme="majorEastAsia"/>
                <w:sz w:val="22"/>
                <w:szCs w:val="22"/>
                <w:shd w:fill="auto" w:val="clear"/>
              </w:rPr>
              <w:t>невідповідність</w:t>
            </w:r>
            <w:r>
              <w:rPr>
                <w:rFonts w:cs="Times New Roman" w:ascii="Times New Roman" w:hAnsi="Times New Roman"/>
                <w:sz w:val="22"/>
                <w:szCs w:val="22"/>
                <w:shd w:fill="auto" w:val="clear"/>
              </w:rPr>
              <w:t xml:space="preserve">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Rvps2"/>
              <w:widowControl w:val="false"/>
              <w:spacing w:lineRule="auto" w:line="240" w:beforeAutospacing="0" w:before="0" w:afterAutospacing="0" w:after="0"/>
              <w:rPr>
                <w:sz w:val="22"/>
                <w:szCs w:val="22"/>
              </w:rPr>
            </w:pPr>
            <w:r>
              <w:rPr>
                <w:rFonts w:cs="Times New Roman" w:ascii="Times New Roman" w:hAnsi="Times New Roman"/>
                <w:sz w:val="22"/>
                <w:szCs w:val="22"/>
                <w:shd w:fill="auto" w:val="clear"/>
              </w:rPr>
              <w:t>У разі якщо Учасник стає переможцем де</w:t>
            </w:r>
            <w:r>
              <w:rPr>
                <w:rFonts w:cs="Times New Roman" w:ascii="Times New Roman" w:hAnsi="Times New Roman"/>
                <w:sz w:val="22"/>
                <w:szCs w:val="22"/>
              </w:rPr>
              <w:t>кількох або всіх лотів, Замовник може укласти один договір про закупівлю з переможцем, об'єднавши лоти.</w:t>
            </w:r>
          </w:p>
          <w:p>
            <w:pPr>
              <w:pStyle w:val="Normal"/>
              <w:widowControl w:val="false"/>
              <w:ind w:firstLine="567"/>
              <w:jc w:val="both"/>
              <w:rPr>
                <w:color w:val="000000"/>
                <w:sz w:val="22"/>
                <w:szCs w:val="22"/>
                <w:lang w:val="uk-UA"/>
              </w:rPr>
            </w:pPr>
            <w:r>
              <w:rPr>
                <w:color w:val="000000"/>
                <w:sz w:val="22"/>
                <w:szCs w:val="22"/>
                <w:lang w:val="uk-UA"/>
              </w:rPr>
              <w:t xml:space="preserve"> </w:t>
            </w:r>
            <w:r>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Style38"/>
              <w:widowControl w:val="false"/>
              <w:shd w:val="clear" w:color="auto" w:fill="FFFFFF"/>
              <w:spacing w:before="0" w:after="0"/>
              <w:ind w:firstLine="567"/>
              <w:jc w:val="both"/>
              <w:rPr>
                <w:rFonts w:ascii="Times New Roman" w:hAnsi="Times New Roman"/>
                <w:sz w:val="22"/>
                <w:szCs w:val="22"/>
                <w:lang w:val="uk-UA"/>
              </w:rPr>
            </w:pPr>
            <w:r>
              <w:rPr>
                <w:rFonts w:ascii="Times New Roman" w:hAnsi="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firstLine="567"/>
              <w:jc w:val="both"/>
              <w:rPr>
                <w:color w:val="000000"/>
                <w:sz w:val="22"/>
                <w:szCs w:val="22"/>
                <w:lang w:val="uk-UA"/>
              </w:rPr>
            </w:pPr>
            <w:r>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15"/>
              <w:widowControl w:val="false"/>
              <w:spacing w:lineRule="auto" w:line="240" w:before="0" w:after="0"/>
              <w:ind w:left="41" w:right="97" w:firstLine="737"/>
              <w:rPr>
                <w:rFonts w:ascii="Times New Roman" w:hAnsi="Times New Roman" w:cs="Times New Roman"/>
                <w:sz w:val="22"/>
                <w:szCs w:val="22"/>
                <w:lang w:eastAsia="uk-UA"/>
              </w:rPr>
            </w:pPr>
            <w:r>
              <w:rPr>
                <w:rFonts w:cs="Times New Roman" w:ascii="Times New Roman" w:hAnsi="Times New Roman"/>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5"/>
              <w:widowControl w:val="false"/>
              <w:spacing w:lineRule="auto" w:line="240" w:before="0" w:after="0"/>
              <w:ind w:left="41" w:right="97" w:firstLine="737"/>
              <w:rPr>
                <w:rFonts w:ascii="Times New Roman" w:hAnsi="Times New Roman" w:cs="Times New Roman"/>
                <w:sz w:val="22"/>
                <w:szCs w:val="22"/>
                <w:lang w:eastAsia="uk-UA"/>
              </w:rPr>
            </w:pPr>
            <w:r>
              <w:rPr>
                <w:rFonts w:cs="Times New Roman" w:ascii="Times New Roman" w:hAnsi="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Rvps2"/>
              <w:widowControl w:val="false"/>
              <w:spacing w:lineRule="auto" w:line="240" w:beforeAutospacing="0" w:before="0" w:afterAutospacing="0" w:after="0"/>
              <w:ind w:firstLine="511"/>
              <w:rPr>
                <w:rFonts w:ascii="Times New Roman" w:hAnsi="Times New Roman"/>
                <w:sz w:val="22"/>
                <w:szCs w:val="22"/>
              </w:rPr>
            </w:pPr>
            <w:r>
              <w:rPr>
                <w:rFonts w:ascii="Times New Roman" w:hAnsi="Times New Roman"/>
                <w:sz w:val="22"/>
                <w:szCs w:val="22"/>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Rvps2"/>
              <w:widowControl w:val="false"/>
              <w:spacing w:lineRule="auto" w:line="240" w:beforeAutospacing="0" w:before="0" w:afterAutospacing="0" w:after="0"/>
              <w:ind w:firstLine="511"/>
              <w:rPr>
                <w:rFonts w:ascii="Times New Roman" w:hAnsi="Times New Roman"/>
                <w:sz w:val="22"/>
                <w:szCs w:val="22"/>
              </w:rPr>
            </w:pPr>
            <w:r>
              <w:rPr>
                <w:rFonts w:ascii="Times New Roman" w:hAnsi="Times New Roman"/>
                <w:sz w:val="22"/>
                <w:szCs w:val="22"/>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pPr>
              <w:pStyle w:val="Rvps2"/>
              <w:widowControl w:val="false"/>
              <w:spacing w:lineRule="auto" w:line="240" w:beforeAutospacing="0" w:before="0" w:afterAutospacing="0" w:after="0"/>
              <w:ind w:firstLine="511"/>
              <w:rPr>
                <w:rFonts w:ascii="Times New Roman" w:hAnsi="Times New Roman"/>
                <w:sz w:val="22"/>
                <w:szCs w:val="22"/>
              </w:rPr>
            </w:pPr>
            <w:r>
              <w:rPr>
                <w:rFonts w:ascii="Times New Roman" w:hAnsi="Times New Roman"/>
                <w:sz w:val="22"/>
                <w:szCs w:val="22"/>
              </w:rPr>
              <w:t>У разі коли учасник процедури закупівлі стає переможцем кількох або всіх ло</w:t>
              <w:softHyphen/>
              <w:t>тів, замовник може укласти один договір про закупівлю з переможцем, об’єднавши лоти.</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Відхилення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pPr>
              <w:pStyle w:val="Rvps2"/>
              <w:widowControl w:val="false"/>
              <w:spacing w:lineRule="auto" w:line="240" w:beforeAutospacing="0" w:before="0" w:afterAutospacing="0" w:after="0"/>
              <w:rPr>
                <w:sz w:val="22"/>
                <w:szCs w:val="22"/>
              </w:rPr>
            </w:pPr>
            <w:r>
              <w:rPr>
                <w:rFonts w:cs="Times New Roman" w:ascii="Times New Roman" w:hAnsi="Times New Roman"/>
                <w:sz w:val="22"/>
                <w:szCs w:val="22"/>
              </w:rPr>
              <w:t xml:space="preserve">Замовник відхиляє тендерну пропозицію із зазначенням аргументації в електронній системі закупівель у разі, </w:t>
            </w:r>
            <w:r>
              <w:rPr>
                <w:rFonts w:cs="Times New Roman" w:ascii="Times New Roman" w:hAnsi="Times New Roman"/>
                <w:color w:val="000000"/>
                <w:sz w:val="22"/>
                <w:szCs w:val="22"/>
              </w:rPr>
              <w:t>коли</w:t>
            </w:r>
            <w:r>
              <w:rPr>
                <w:rFonts w:cs="Times New Roman" w:ascii="Times New Roman" w:hAnsi="Times New Roman"/>
                <w:sz w:val="22"/>
                <w:szCs w:val="22"/>
              </w:rPr>
              <w:t>:</w:t>
            </w:r>
          </w:p>
          <w:p>
            <w:pPr>
              <w:pStyle w:val="Rvps2"/>
              <w:widowControl w:val="false"/>
              <w:spacing w:lineRule="auto" w:line="240" w:beforeAutospacing="0" w:before="0" w:afterAutospacing="0" w:after="0"/>
              <w:rPr>
                <w:rFonts w:ascii="Times New Roman" w:hAnsi="Times New Roman"/>
                <w:sz w:val="22"/>
                <w:szCs w:val="22"/>
              </w:rPr>
            </w:pPr>
            <w:r>
              <w:rPr>
                <w:rFonts w:cs="Times New Roman" w:ascii="Times New Roman" w:hAnsi="Times New Roman"/>
                <w:sz w:val="22"/>
                <w:szCs w:val="22"/>
              </w:rPr>
              <w:t>1)учасник процедури закупівлі%</w:t>
            </w:r>
          </w:p>
          <w:p>
            <w:pPr>
              <w:pStyle w:val="Normal"/>
              <w:widowControl w:val="false"/>
              <w:ind w:firstLine="567"/>
              <w:jc w:val="both"/>
              <w:rPr>
                <w:color w:val="000000"/>
                <w:sz w:val="22"/>
                <w:szCs w:val="22"/>
                <w:lang w:val="uk-UA"/>
              </w:rPr>
            </w:pPr>
            <w:r>
              <w:rPr>
                <w:color w:val="000000"/>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ind w:firstLine="567"/>
              <w:jc w:val="both"/>
              <w:rPr>
                <w:color w:val="000000"/>
                <w:sz w:val="22"/>
                <w:szCs w:val="22"/>
                <w:lang w:val="uk-UA"/>
              </w:rPr>
            </w:pPr>
            <w:r>
              <w:rPr>
                <w:color w:val="000000"/>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ind w:firstLine="567"/>
              <w:jc w:val="both"/>
              <w:rPr>
                <w:color w:val="000000"/>
                <w:sz w:val="22"/>
                <w:szCs w:val="22"/>
                <w:lang w:val="uk-UA"/>
              </w:rPr>
            </w:pPr>
            <w:r>
              <w:rPr>
                <w:color w:val="000000"/>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567"/>
              <w:jc w:val="both"/>
              <w:rPr>
                <w:color w:val="000000"/>
                <w:sz w:val="22"/>
                <w:szCs w:val="22"/>
                <w:lang w:val="uk-UA"/>
              </w:rPr>
            </w:pPr>
            <w:r>
              <w:rPr>
                <w:color w:val="000000"/>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ind w:firstLine="567"/>
              <w:jc w:val="both"/>
              <w:rPr>
                <w:color w:val="000000"/>
                <w:sz w:val="22"/>
                <w:szCs w:val="22"/>
                <w:lang w:val="uk-UA"/>
              </w:rPr>
            </w:pPr>
            <w:r>
              <w:rPr>
                <w:color w:val="000000"/>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ind w:firstLine="567"/>
              <w:jc w:val="both"/>
              <w:rPr>
                <w:sz w:val="22"/>
                <w:szCs w:val="22"/>
                <w:lang w:val="uk-UA"/>
              </w:rPr>
            </w:pPr>
            <w:r>
              <w:rPr>
                <w:color w:val="000000"/>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ind w:firstLine="567"/>
              <w:jc w:val="both"/>
              <w:rPr>
                <w:color w:val="000000"/>
                <w:sz w:val="22"/>
                <w:szCs w:val="22"/>
                <w:lang w:val="uk-UA"/>
              </w:rPr>
            </w:pPr>
            <w:r>
              <w:rPr>
                <w:color w:val="000000"/>
                <w:sz w:val="22"/>
                <w:szCs w:val="22"/>
                <w:lang w:val="uk-UA"/>
              </w:rPr>
              <w:t>2) тендерна пропозиція:</w:t>
            </w:r>
          </w:p>
          <w:p>
            <w:pPr>
              <w:pStyle w:val="Normal"/>
              <w:widowControl w:val="false"/>
              <w:ind w:firstLine="567"/>
              <w:jc w:val="both"/>
              <w:rPr>
                <w:color w:val="000000"/>
                <w:sz w:val="22"/>
                <w:szCs w:val="22"/>
                <w:lang w:val="uk-UA"/>
              </w:rPr>
            </w:pPr>
            <w:r>
              <w:rPr>
                <w:color w:val="000000"/>
                <w:sz w:val="22"/>
                <w:szCs w:val="22"/>
                <w:lang w:val="uk-UA"/>
              </w:rPr>
              <w:t>не відповідає умовам технічної специфікації та іншим вимогам щодо предмета закупівлі тендерної документації;</w:t>
            </w:r>
          </w:p>
          <w:p>
            <w:pPr>
              <w:pStyle w:val="Normal"/>
              <w:widowControl w:val="false"/>
              <w:ind w:firstLine="567"/>
              <w:jc w:val="both"/>
              <w:rPr>
                <w:color w:val="000000"/>
                <w:sz w:val="22"/>
                <w:szCs w:val="22"/>
                <w:lang w:val="uk-UA"/>
              </w:rPr>
            </w:pPr>
            <w:r>
              <w:rPr>
                <w:color w:val="000000"/>
                <w:sz w:val="22"/>
                <w:szCs w:val="22"/>
                <w:lang w:val="uk-UA"/>
              </w:rPr>
              <w:t>викладена іншою мовою (мовами), ніж мова (мови), що передбачена тендерною документацією;</w:t>
            </w:r>
          </w:p>
          <w:p>
            <w:pPr>
              <w:pStyle w:val="Normal"/>
              <w:widowControl w:val="false"/>
              <w:ind w:firstLine="567"/>
              <w:jc w:val="both"/>
              <w:rPr>
                <w:color w:val="000000"/>
                <w:sz w:val="22"/>
                <w:szCs w:val="22"/>
                <w:lang w:val="uk-UA"/>
              </w:rPr>
            </w:pPr>
            <w:r>
              <w:rPr>
                <w:color w:val="000000"/>
                <w:sz w:val="22"/>
                <w:szCs w:val="22"/>
                <w:lang w:val="uk-UA"/>
              </w:rPr>
              <w:t>є такою, строк дії якої закінчився;</w:t>
            </w:r>
          </w:p>
          <w:p>
            <w:pPr>
              <w:pStyle w:val="Normal"/>
              <w:widowControl w:val="false"/>
              <w:ind w:firstLine="567"/>
              <w:jc w:val="both"/>
              <w:rPr>
                <w:sz w:val="22"/>
                <w:szCs w:val="22"/>
                <w:lang w:val="uk-UA"/>
              </w:rPr>
            </w:pPr>
            <w:r>
              <w:rPr>
                <w:color w:val="00000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ind w:firstLine="567"/>
              <w:jc w:val="both"/>
              <w:rPr>
                <w:color w:val="000000"/>
                <w:sz w:val="22"/>
                <w:szCs w:val="22"/>
                <w:lang w:val="uk-UA"/>
              </w:rPr>
            </w:pPr>
            <w:r>
              <w:rPr>
                <w:color w:val="000000"/>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ind w:firstLine="567"/>
              <w:jc w:val="both"/>
              <w:rPr>
                <w:color w:val="000000"/>
                <w:sz w:val="22"/>
                <w:szCs w:val="22"/>
                <w:lang w:val="uk-UA"/>
              </w:rPr>
            </w:pPr>
            <w:r>
              <w:rPr>
                <w:color w:val="000000"/>
                <w:sz w:val="22"/>
                <w:szCs w:val="22"/>
                <w:lang w:val="uk-UA"/>
              </w:rPr>
              <w:t>3) переможець процедури закупівлі:</w:t>
            </w:r>
          </w:p>
          <w:p>
            <w:pPr>
              <w:pStyle w:val="Normal"/>
              <w:widowControl w:val="false"/>
              <w:ind w:firstLine="567"/>
              <w:jc w:val="both"/>
              <w:rPr>
                <w:color w:val="000000"/>
                <w:sz w:val="22"/>
                <w:szCs w:val="22"/>
                <w:lang w:val="uk-UA"/>
              </w:rPr>
            </w:pPr>
            <w:r>
              <w:rPr>
                <w:color w:val="000000"/>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ind w:firstLine="567"/>
              <w:jc w:val="both"/>
              <w:rPr>
                <w:color w:val="000000"/>
                <w:sz w:val="22"/>
                <w:szCs w:val="22"/>
                <w:lang w:val="uk-UA"/>
              </w:rPr>
            </w:pPr>
            <w:r>
              <w:rPr>
                <w:color w:val="000000"/>
                <w:sz w:val="22"/>
                <w:szCs w:val="22"/>
                <w:lang w:val="uk-UA"/>
              </w:rPr>
              <w:t>не надав забезпечення виконання договору про закупівлю, якщо таке забезпечення вимагалося замовником;</w:t>
            </w:r>
          </w:p>
          <w:p>
            <w:pPr>
              <w:pStyle w:val="Rvps2"/>
              <w:widowControl w:val="false"/>
              <w:spacing w:lineRule="auto" w:line="240" w:beforeAutospacing="0" w:before="0" w:afterAutospacing="0" w:after="0"/>
              <w:rPr>
                <w:rFonts w:ascii="Times New Roman" w:hAnsi="Times New Roman" w:cs="Times New Roman"/>
                <w:sz w:val="22"/>
                <w:szCs w:val="22"/>
              </w:rPr>
            </w:pPr>
            <w:bookmarkStart w:id="2" w:name="n851"/>
            <w:bookmarkEnd w:id="2"/>
            <w:r>
              <w:rPr>
                <w:rFonts w:cs="Times New Roman" w:ascii="Times New Roman" w:hAnsi="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ind w:firstLine="567"/>
              <w:jc w:val="both"/>
              <w:rPr>
                <w:color w:val="000000"/>
                <w:sz w:val="22"/>
                <w:szCs w:val="22"/>
                <w:lang w:val="uk-UA"/>
              </w:rPr>
            </w:pPr>
            <w:r>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color w:val="000000"/>
                <w:sz w:val="22"/>
                <w:szCs w:val="22"/>
                <w:lang w:val="uk-UA"/>
              </w:rPr>
            </w:pPr>
            <w:r>
              <w:rPr>
                <w:color w:val="000000"/>
                <w:sz w:val="22"/>
                <w:szCs w:val="22"/>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color w:val="000000"/>
                <w:sz w:val="22"/>
                <w:szCs w:val="22"/>
                <w:lang w:val="uk-UA"/>
              </w:rPr>
            </w:pPr>
            <w:r>
              <w:rPr>
                <w:color w:val="000000"/>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ind w:firstLine="567"/>
              <w:jc w:val="both"/>
              <w:rPr>
                <w:color w:val="000000"/>
                <w:sz w:val="22"/>
                <w:szCs w:val="22"/>
                <w:lang w:val="uk-UA"/>
              </w:rPr>
            </w:pPr>
            <w:r>
              <w:rPr>
                <w:color w:val="00000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Rvps2"/>
              <w:widowControl w:val="false"/>
              <w:spacing w:lineRule="auto" w:line="240" w:beforeAutospacing="0" w:before="0" w:afterAutospacing="0" w:after="0"/>
              <w:rPr>
                <w:rFonts w:ascii="Times New Roman" w:hAnsi="Times New Roman"/>
                <w:sz w:val="22"/>
                <w:szCs w:val="22"/>
              </w:rPr>
            </w:pPr>
            <w:bookmarkStart w:id="3" w:name="n860"/>
            <w:bookmarkEnd w:id="3"/>
            <w:r>
              <w:rPr>
                <w:rFonts w:cs="Times New Roman" w:ascii="Times New Roman" w:hAnsi="Times New Roman"/>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ind w:firstLine="567"/>
              <w:jc w:val="both"/>
              <w:rPr>
                <w:color w:val="000000"/>
                <w:sz w:val="22"/>
                <w:szCs w:val="22"/>
                <w:lang w:val="uk-UA"/>
              </w:rPr>
            </w:pPr>
            <w:r>
              <w:rPr>
                <w:color w:val="000000"/>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ind w:firstLine="567"/>
              <w:jc w:val="both"/>
              <w:rPr>
                <w:color w:val="000000"/>
                <w:sz w:val="22"/>
                <w:szCs w:val="22"/>
                <w:lang w:val="uk-UA"/>
              </w:rPr>
            </w:pPr>
            <w:r>
              <w:rPr>
                <w:color w:val="000000"/>
                <w:sz w:val="22"/>
                <w:szCs w:val="22"/>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ind w:firstLine="567"/>
              <w:jc w:val="both"/>
              <w:rPr>
                <w:color w:val="000000"/>
                <w:sz w:val="22"/>
                <w:szCs w:val="22"/>
                <w:lang w:val="uk-UA"/>
              </w:rPr>
            </w:pPr>
            <w:r>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pPr>
              <w:pStyle w:val="Normal"/>
              <w:widowControl w:val="false"/>
              <w:ind w:firstLine="567"/>
              <w:jc w:val="both"/>
              <w:rPr>
                <w:sz w:val="22"/>
                <w:szCs w:val="22"/>
              </w:rPr>
            </w:pPr>
            <w:r>
              <w:rPr>
                <w:sz w:val="22"/>
                <w:szCs w:val="22"/>
              </w:rPr>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tabs>
                <w:tab w:val="clear" w:pos="720"/>
                <w:tab w:val="left" w:pos="540" w:leader="none"/>
              </w:tabs>
              <w:spacing w:lineRule="auto" w:line="240" w:before="0" w:after="0"/>
              <w:ind w:left="113" w:right="113" w:hanging="0"/>
              <w:rPr>
                <w:b/>
                <w:b/>
                <w:sz w:val="22"/>
                <w:szCs w:val="22"/>
              </w:rPr>
            </w:pPr>
            <w:r>
              <w:rPr>
                <w:rFonts w:cs="Times New Roman" w:ascii="Times New Roman" w:hAnsi="Times New Roman"/>
                <w:b/>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 та і</w:t>
            </w:r>
            <w:r>
              <w:rPr>
                <w:rFonts w:cs="Times New Roman" w:ascii="Times New Roman" w:hAnsi="Times New Roman"/>
                <w:b/>
                <w:sz w:val="22"/>
                <w:szCs w:val="22"/>
                <w:lang w:eastAsia="uk-UA"/>
              </w:rPr>
              <w:t>нша інформація (умови)</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pPr>
              <w:pStyle w:val="15"/>
              <w:widowControl w:val="false"/>
              <w:shd w:val="clear" w:color="auto" w:fill="FFFFFF"/>
              <w:spacing w:lineRule="auto" w:line="240" w:before="0" w:after="0"/>
              <w:ind w:left="33" w:right="43" w:firstLine="737"/>
              <w:rPr>
                <w:rFonts w:ascii="Times New Roman" w:hAnsi="Times New Roman" w:cs="Times New Roman"/>
                <w:color w:val="000000"/>
                <w:sz w:val="22"/>
                <w:szCs w:val="22"/>
              </w:rPr>
            </w:pPr>
            <w:r>
              <w:rPr>
                <w:rFonts w:cs="Times New Roman" w:ascii="Times New Roman" w:hAnsi="Times New Roman"/>
                <w:color w:val="000000"/>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pPr>
              <w:pStyle w:val="15"/>
              <w:widowControl w:val="false"/>
              <w:spacing w:lineRule="auto" w:line="240" w:before="0" w:after="0"/>
              <w:ind w:right="34" w:firstLine="737"/>
              <w:rPr>
                <w:sz w:val="22"/>
                <w:szCs w:val="22"/>
              </w:rPr>
            </w:pPr>
            <w:r>
              <w:rPr>
                <w:rFonts w:cs="Times New Roman" w:ascii="Times New Roman" w:hAnsi="Times New Roman"/>
                <w:sz w:val="22"/>
                <w:szCs w:val="22"/>
              </w:rPr>
              <w:t>Опис та приклади формальних (несуттєвих) помилок, допущення яких учасниками не призведе до відхилення їх тендерних пропозицій:</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уживання великої літери;</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уживання розділових знаків та відмінювання слів у реченні;</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використання слова або мовного звороту, запозичених з іншої мови;</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xml:space="preserve">- </w:t>
            </w:r>
            <w:r>
              <w:rPr>
                <w:rFonts w:cs="Times New Roman" w:ascii="Times New Roman" w:hAnsi="Times New Roman"/>
                <w:color w:val="00000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color w:val="000000"/>
                <w:sz w:val="22"/>
                <w:szCs w:val="22"/>
                <w:lang w:val="uk-UA"/>
              </w:rPr>
              <w:t>- застосування правил переносу частини слова з рядка в рядок;</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написання слів разом та/або окремо, та/або через дефіс;</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Приклад:</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Учасником зазначено: “ненадається” замість “не надається”;</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ListParagraph"/>
              <w:widowControl w:val="false"/>
              <w:spacing w:lineRule="auto" w:line="240" w:before="0" w:after="0"/>
              <w:ind w:left="0" w:firstLine="737"/>
              <w:contextualSpacing/>
              <w:rPr>
                <w:lang w:val="uk-UA"/>
              </w:rPr>
            </w:pPr>
            <w:r>
              <w:rPr>
                <w:rStyle w:val="Bodytext2"/>
                <w:rFonts w:eastAsia="Calibri" w:eastAsiaTheme="minorHAnsi"/>
              </w:rPr>
              <w:t>Приклад:</w:t>
            </w:r>
          </w:p>
          <w:p>
            <w:pPr>
              <w:pStyle w:val="ListParagraph"/>
              <w:widowControl w:val="false"/>
              <w:spacing w:lineRule="auto" w:line="240" w:before="0" w:after="0"/>
              <w:ind w:left="0" w:firstLine="737"/>
              <w:contextualSpacing/>
              <w:rPr>
                <w:lang w:val="uk-UA"/>
              </w:rPr>
            </w:pPr>
            <w:r>
              <w:rPr>
                <w:rStyle w:val="Bodytext2"/>
                <w:rFonts w:eastAsia="Calibri" w:eastAsiaTheme="minorHAnsi"/>
              </w:rPr>
              <w:t>Учасником у складі тендерної пропозиції подана копія аналогічного договору, перша сторінка якого не містить підпис уповноваженої особи Учасника.</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Web"/>
              <w:widowControl w:val="false"/>
              <w:spacing w:lineRule="auto" w:line="240" w:beforeAutospacing="0" w:before="0" w:afterAutospacing="0" w:after="0"/>
              <w:rPr>
                <w:rFonts w:ascii="Times New Roman" w:hAnsi="Times New Roman" w:cs="Times New Roman"/>
                <w:sz w:val="22"/>
                <w:szCs w:val="22"/>
                <w:lang w:val="uk-UA"/>
              </w:rPr>
            </w:pPr>
            <w:r>
              <w:rPr>
                <w:rFonts w:cs="Times New Roman" w:ascii="Times New Roman" w:hAnsi="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15"/>
              <w:widowControl w:val="false"/>
              <w:spacing w:lineRule="auto" w:line="240" w:before="0" w:after="0"/>
              <w:ind w:right="97" w:firstLine="737"/>
              <w:rPr>
                <w:rFonts w:ascii="Times New Roman" w:hAnsi="Times New Roman" w:eastAsia="Calibri" w:cs="Times New Roman" w:eastAsiaTheme="minorHAnsi"/>
                <w:sz w:val="22"/>
                <w:szCs w:val="22"/>
              </w:rPr>
            </w:pPr>
            <w:r>
              <w:rPr>
                <w:rFonts w:eastAsia="Calibri" w:cs="Times New Roman" w:eastAsiaTheme="minorHAnsi" w:ascii="Times New Roman" w:hAnsi="Times New Roman"/>
                <w:sz w:val="22"/>
                <w:szCs w:val="22"/>
              </w:rPr>
            </w:r>
          </w:p>
          <w:p>
            <w:pPr>
              <w:pStyle w:val="15"/>
              <w:widowControl w:val="false"/>
              <w:shd w:val="clear" w:color="auto" w:fill="FFFFFF"/>
              <w:spacing w:lineRule="auto" w:line="240" w:before="0" w:after="0"/>
              <w:ind w:left="68" w:firstLine="737"/>
              <w:rPr/>
            </w:pPr>
            <w:r>
              <w:rPr>
                <w:rStyle w:val="Bodytext811ptNotBold"/>
                <w:rFonts w:eastAsia="Calibri" w:eastAsiaTheme="minorHAnsi"/>
                <w:b w:val="false"/>
              </w:rPr>
              <w:t xml:space="preserve">Рішення у кожному окремому випадку про </w:t>
            </w:r>
            <w:r>
              <w:rPr>
                <w:rStyle w:val="Bodytext8"/>
                <w:rFonts w:eastAsia="Calibri" w:eastAsiaTheme="minorHAnsi"/>
                <w:b w:val="false"/>
                <w:sz w:val="22"/>
                <w:szCs w:val="22"/>
              </w:rPr>
              <w:t xml:space="preserve">віднесення допущеної Учасником помилки до </w:t>
            </w:r>
            <w:r>
              <w:rPr>
                <w:rStyle w:val="Heading2"/>
                <w:rFonts w:eastAsia="Calibri" w:eastAsiaTheme="minorHAnsi"/>
                <w:b w:val="false"/>
                <w:sz w:val="22"/>
                <w:szCs w:val="22"/>
              </w:rPr>
              <w:t>формальної (</w:t>
            </w:r>
            <w:r>
              <w:rPr>
                <w:rStyle w:val="Heading2"/>
                <w:rFonts w:eastAsia="Cambria"/>
                <w:b w:val="false"/>
                <w:sz w:val="22"/>
                <w:szCs w:val="22"/>
              </w:rPr>
              <w:t>несуттєвої) приймається</w:t>
            </w:r>
            <w:r>
              <w:rPr>
                <w:rStyle w:val="Heading2"/>
                <w:rFonts w:eastAsia="Calibri" w:eastAsiaTheme="minorHAnsi"/>
                <w:b w:val="false"/>
                <w:sz w:val="22"/>
                <w:szCs w:val="22"/>
              </w:rPr>
              <w:t xml:space="preserve"> </w:t>
            </w:r>
            <w:r>
              <w:rPr>
                <w:rStyle w:val="Heading2"/>
                <w:rFonts w:eastAsia="Cambria"/>
                <w:b w:val="false"/>
                <w:sz w:val="22"/>
                <w:szCs w:val="22"/>
              </w:rPr>
              <w:t>Уповноваженою особою.</w:t>
            </w:r>
          </w:p>
          <w:p>
            <w:pPr>
              <w:pStyle w:val="15"/>
              <w:widowControl w:val="false"/>
              <w:shd w:val="clear" w:color="auto" w:fill="FFFFFF"/>
              <w:spacing w:lineRule="auto" w:line="240" w:before="0" w:after="0"/>
              <w:ind w:left="33" w:right="43" w:firstLine="737"/>
              <w:rPr>
                <w:rFonts w:ascii="Times New Roman" w:hAnsi="Times New Roman" w:cs="Times New Roman"/>
                <w:bCs/>
                <w:sz w:val="22"/>
                <w:szCs w:val="22"/>
              </w:rPr>
            </w:pPr>
            <w:r>
              <w:rPr>
                <w:rFonts w:cs="Times New Roman" w:ascii="Times New Roman" w:hAnsi="Times New Roman"/>
                <w:bCs/>
                <w:sz w:val="22"/>
                <w:szCs w:val="22"/>
              </w:rPr>
            </w:r>
          </w:p>
          <w:p>
            <w:pPr>
              <w:pStyle w:val="15"/>
              <w:widowControl w:val="false"/>
              <w:shd w:val="clear" w:color="auto" w:fill="FFFFFF"/>
              <w:spacing w:lineRule="auto" w:line="240" w:before="0" w:after="0"/>
              <w:ind w:left="68" w:firstLine="737"/>
              <w:rPr>
                <w:sz w:val="22"/>
                <w:szCs w:val="22"/>
              </w:rPr>
            </w:pPr>
            <w:r>
              <w:rPr>
                <w:rFonts w:cs="Times New Roman" w:ascii="Times New Roman" w:hAnsi="Times New Roman"/>
                <w:bCs/>
                <w:sz w:val="22"/>
                <w:szCs w:val="22"/>
              </w:rPr>
              <w:t>Приклади формальних помилок:</w:t>
            </w:r>
            <w:r>
              <w:rPr>
                <w:rFonts w:cs="Times New Roman" w:ascii="Times New Roman" w:hAnsi="Times New Roman"/>
                <w:sz w:val="22"/>
                <w:szCs w:val="22"/>
              </w:rPr>
              <w:br/>
              <w:t>– “Інформація в довільній формі” замість “Інформація”, “Лист-пояснення” замість “Лист”, “довідка” замість “гарантійний лист”, “інформація” замість “довідка”;</w:t>
              <w:br/>
              <w:t>– “м.київ” замість “м.Київ”;</w:t>
              <w:br/>
              <w:t>– “поряд -ок” замість “поря – док”;</w:t>
              <w:br/>
              <w:t>– “ненадається” замість “не надається”;</w:t>
              <w:br/>
              <w:t>– учасник розмістив (завантажив) документ у форматі “JPG” замість документа у форматі “pdf” (Portable Document Format);</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 Статуті Учасника два рази пронумерована сторінка 5 та 6 цифрою 5;</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trike/>
                <w:sz w:val="22"/>
                <w:szCs w:val="22"/>
                <w:lang w:val="uk-UA"/>
              </w:rPr>
              <w:t>-</w:t>
            </w:r>
            <w:r>
              <w:rPr>
                <w:rFonts w:cs="Times New Roman" w:ascii="Times New Roman" w:hAnsi="Times New Roman"/>
                <w:sz w:val="22"/>
                <w:szCs w:val="22"/>
                <w:lang w:val="uk-UA"/>
              </w:rPr>
              <w:t xml:space="preserve"> учасник подав у складі тендерної пропозиції Витяг з Єдиного державного реєстру юридичних осіб, фізичних осіб-підприємців та громадських формувань (далі- Витяг з ЄДР), хоча умовами тендерної документації не було передбачено подання Витягу з ЄДР Учасником у складі тендерної пропозиції;</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 складі тендерної пропозиції Учасником подана довідка про досвід виконання аналогічного (аналогічних) за предметом закупівлі договору (договорів), яка складена у довільній формі та не містить вихідний номер;</w:t>
            </w:r>
          </w:p>
          <w:p>
            <w:pPr>
              <w:pStyle w:val="NormalWeb"/>
              <w:widowControl w:val="false"/>
              <w:spacing w:lineRule="auto" w:line="240" w:beforeAutospacing="0" w:before="0" w:afterAutospacing="0" w:after="0"/>
              <w:rPr>
                <w:rFonts w:ascii="Times New Roman" w:hAnsi="Times New Roman"/>
                <w:sz w:val="22"/>
                <w:szCs w:val="22"/>
                <w:lang w:val="uk-UA"/>
              </w:rPr>
            </w:pPr>
            <w:r>
              <w:rPr>
                <w:rFonts w:cs="Times New Roman" w:ascii="Times New Roman" w:hAnsi="Times New Roman"/>
                <w:sz w:val="22"/>
                <w:szCs w:val="22"/>
                <w:lang w:val="uk-UA"/>
              </w:rPr>
              <w:t>- замість вимоги подати оригінал аналогічного договору Учасником у складі тендерної пропозиції подана сканована копія оригіналу аналогічного договору;</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довідка про наявність в учасника процедури закупівлі обладнання, матеріально-технічної бази та технологій підписана директором Учасника, при цьому, містить візу і ПІБ начальника юридичного відділу Учасника;</w:t>
            </w:r>
          </w:p>
          <w:p>
            <w:pPr>
              <w:pStyle w:val="NormalWeb"/>
              <w:widowControl w:val="false"/>
              <w:spacing w:lineRule="auto" w:line="240" w:beforeAutospacing="0" w:before="0" w:afterAutospacing="0" w:after="0"/>
              <w:rPr>
                <w:rFonts w:ascii="Times New Roman" w:hAnsi="Times New Roman"/>
                <w:sz w:val="22"/>
                <w:szCs w:val="22"/>
                <w:lang w:val="uk-UA"/>
              </w:rPr>
            </w:pPr>
            <w:r>
              <w:rPr>
                <w:rFonts w:cs="Times New Roman" w:ascii="Times New Roman" w:hAnsi="Times New Roman"/>
                <w:sz w:val="22"/>
                <w:szCs w:val="22"/>
                <w:lang w:val="uk-UA"/>
              </w:rPr>
              <w:t>- учасником у складі тендерної пропозиції  поданий аналогічний договір, стороною якого виступало ПАТ «Завод алюміневих виробів» (так Учасник називався на момент укладення цього договору), однак після подачі цього аналогічного договору відповідно до законодавства Учасник змінив назву на АТ «Завод алюміневих виробів»;</w:t>
            </w:r>
          </w:p>
          <w:p>
            <w:pPr>
              <w:pStyle w:val="NormalWeb"/>
              <w:widowControl w:val="false"/>
              <w:spacing w:lineRule="auto" w:line="240" w:beforeAutospacing="0" w:before="0" w:afterAutospacing="0" w:after="0"/>
              <w:rPr>
                <w:sz w:val="22"/>
                <w:szCs w:val="22"/>
                <w:lang w:val="uk-UA"/>
              </w:rPr>
            </w:pPr>
            <w:r>
              <w:rPr>
                <w:rFonts w:cs="Times New Roman" w:ascii="Times New Roman" w:hAnsi="Times New Roman"/>
                <w:sz w:val="22"/>
                <w:szCs w:val="22"/>
                <w:lang w:val="uk-UA"/>
              </w:rPr>
              <w:t>- у тендерній документації  встановлена вимога до Учасників подати документи у форматі pdf, Учасником подані документи у форматах jpeg, png, розширення програм, що здійснюють архівацію даних (rar, zip), при цьому такий формат документа забезпечує можливість його перегляду.</w:t>
            </w:r>
          </w:p>
          <w:p>
            <w:pPr>
              <w:pStyle w:val="15"/>
              <w:widowControl w:val="false"/>
              <w:spacing w:lineRule="auto" w:line="240" w:before="0" w:after="0"/>
              <w:ind w:left="163" w:right="97" w:firstLine="240"/>
              <w:rPr>
                <w:rFonts w:ascii="Times New Roman" w:hAnsi="Times New Roman" w:cs="Times New Roman"/>
                <w:sz w:val="22"/>
                <w:szCs w:val="22"/>
              </w:rPr>
            </w:pPr>
            <w:r>
              <w:rPr>
                <w:rFonts w:cs="Times New Roman" w:ascii="Times New Roman" w:hAnsi="Times New Roman"/>
                <w:sz w:val="22"/>
                <w:szCs w:val="22"/>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3 Закону.</w:t>
            </w:r>
          </w:p>
          <w:p>
            <w:pPr>
              <w:pStyle w:val="15"/>
              <w:widowControl w:val="false"/>
              <w:spacing w:lineRule="auto" w:line="240" w:before="0" w:after="0"/>
              <w:ind w:right="97" w:firstLine="403"/>
              <w:rPr/>
            </w:pPr>
            <w:r>
              <w:rPr>
                <w:rStyle w:val="Bodytext811ptNotBold"/>
                <w:rFonts w:eastAsia="Calibri" w:eastAsiaTheme="minorHAnsi"/>
                <w:b w:val="false"/>
              </w:rPr>
              <w:t xml:space="preserve">Рішення у кожному окремому випадку про </w:t>
            </w:r>
            <w:r>
              <w:rPr>
                <w:rStyle w:val="Bodytext8"/>
                <w:rFonts w:eastAsia="Calibri" w:eastAsiaTheme="minorHAnsi"/>
                <w:b w:val="false"/>
                <w:sz w:val="22"/>
                <w:szCs w:val="22"/>
              </w:rPr>
              <w:t xml:space="preserve">віднесення допущеної Учасником помилки до </w:t>
            </w:r>
            <w:bookmarkStart w:id="4" w:name="bookmark1"/>
            <w:r>
              <w:rPr>
                <w:rStyle w:val="Heading2"/>
                <w:rFonts w:eastAsia="Calibri" w:eastAsiaTheme="minorHAnsi"/>
                <w:b w:val="false"/>
                <w:sz w:val="22"/>
                <w:szCs w:val="22"/>
              </w:rPr>
              <w:t>формальної (</w:t>
            </w:r>
            <w:r>
              <w:rPr>
                <w:rStyle w:val="Heading2"/>
                <w:rFonts w:eastAsia="Cambria"/>
                <w:b w:val="false"/>
                <w:sz w:val="22"/>
                <w:szCs w:val="22"/>
              </w:rPr>
              <w:t>несуттєвої) приймається</w:t>
            </w:r>
            <w:r>
              <w:rPr>
                <w:rStyle w:val="Heading2"/>
                <w:rFonts w:eastAsia="Calibri" w:eastAsiaTheme="minorHAnsi"/>
                <w:b w:val="false"/>
                <w:sz w:val="22"/>
                <w:szCs w:val="22"/>
              </w:rPr>
              <w:t xml:space="preserve"> </w:t>
            </w:r>
            <w:bookmarkEnd w:id="4"/>
            <w:r>
              <w:rPr>
                <w:rStyle w:val="Heading2"/>
                <w:rFonts w:eastAsia="Cambria"/>
                <w:b w:val="false"/>
                <w:sz w:val="22"/>
                <w:szCs w:val="22"/>
              </w:rPr>
              <w:t>Уповноваженою особою.</w:t>
            </w:r>
          </w:p>
          <w:p>
            <w:pPr>
              <w:pStyle w:val="15"/>
              <w:widowControl w:val="false"/>
              <w:spacing w:lineRule="auto" w:line="240" w:before="0" w:after="0"/>
              <w:ind w:left="163" w:right="97" w:firstLine="240"/>
              <w:rPr>
                <w:rFonts w:ascii="Times New Roman" w:hAnsi="Times New Roman" w:cs="Times New Roman"/>
                <w:sz w:val="22"/>
                <w:szCs w:val="22"/>
              </w:rPr>
            </w:pPr>
            <w:r>
              <w:rPr>
                <w:rFonts w:cs="Times New Roman" w:ascii="Times New Roman" w:hAnsi="Times New Roman"/>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pPr>
              <w:pStyle w:val="15"/>
              <w:widowControl w:val="false"/>
              <w:spacing w:lineRule="auto" w:line="240" w:before="0" w:after="0"/>
              <w:ind w:left="163" w:right="97" w:firstLine="240"/>
              <w:rPr>
                <w:rFonts w:ascii="Times New Roman" w:hAnsi="Times New Roman" w:cs="Times New Roman"/>
                <w:sz w:val="22"/>
                <w:szCs w:val="22"/>
              </w:rPr>
            </w:pPr>
            <w:r>
              <w:rPr>
                <w:rFonts w:cs="Times New Roman" w:ascii="Times New Roman" w:hAnsi="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за їх обробку, несе виключно Учасник процедури закупівлі, що подав тендерну пропозицію.</w:t>
            </w:r>
          </w:p>
        </w:tc>
      </w:tr>
      <w:tr>
        <w:trPr/>
        <w:tc>
          <w:tcPr>
            <w:tcW w:w="10323" w:type="dxa"/>
            <w:gridSpan w:val="3"/>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jc w:val="center"/>
              <w:rPr>
                <w:rFonts w:ascii="Times New Roman" w:hAnsi="Times New Roman" w:cs="Times New Roman"/>
                <w:sz w:val="22"/>
                <w:szCs w:val="22"/>
                <w:lang w:eastAsia="uk-UA"/>
              </w:rPr>
            </w:pPr>
            <w:r>
              <w:rPr>
                <w:rFonts w:cs="Times New Roman" w:ascii="Times New Roman" w:hAnsi="Times New Roman"/>
                <w:b/>
                <w:sz w:val="22"/>
                <w:szCs w:val="22"/>
                <w:lang w:eastAsia="uk-UA"/>
              </w:rPr>
              <w:t>VІ. Результати торгів та укладання договору про закупівлю</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Відміна замовником тендеру чи визнання його таким, що не відбувся</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567"/>
              <w:jc w:val="both"/>
              <w:rPr>
                <w:sz w:val="22"/>
                <w:szCs w:val="22"/>
                <w:lang w:val="uk-UA"/>
              </w:rPr>
            </w:pPr>
            <w:r>
              <w:rPr>
                <w:color w:val="000000"/>
                <w:sz w:val="22"/>
                <w:szCs w:val="22"/>
                <w:lang w:val="uk-UA"/>
              </w:rPr>
              <w:t> </w:t>
            </w:r>
            <w:r>
              <w:rPr>
                <w:color w:val="000000"/>
                <w:sz w:val="22"/>
                <w:szCs w:val="22"/>
                <w:lang w:val="uk-UA"/>
              </w:rPr>
              <w:t>Замовник відміняє відкриті торги у разі:</w:t>
            </w:r>
          </w:p>
          <w:p>
            <w:pPr>
              <w:pStyle w:val="Normal"/>
              <w:widowControl w:val="false"/>
              <w:ind w:firstLine="567"/>
              <w:jc w:val="both"/>
              <w:rPr>
                <w:color w:val="000000"/>
                <w:sz w:val="22"/>
                <w:szCs w:val="22"/>
                <w:lang w:val="uk-UA"/>
              </w:rPr>
            </w:pPr>
            <w:r>
              <w:rPr>
                <w:color w:val="000000"/>
                <w:sz w:val="22"/>
                <w:szCs w:val="22"/>
                <w:lang w:val="uk-UA"/>
              </w:rPr>
              <w:t>1) відсутності подальшої потреби в закупівлі товарів, робіт чи послуг;</w:t>
            </w:r>
          </w:p>
          <w:p>
            <w:pPr>
              <w:pStyle w:val="Normal"/>
              <w:widowControl w:val="false"/>
              <w:ind w:firstLine="567"/>
              <w:jc w:val="both"/>
              <w:rPr>
                <w:color w:val="000000"/>
                <w:sz w:val="22"/>
                <w:szCs w:val="22"/>
                <w:lang w:val="uk-UA"/>
              </w:rPr>
            </w:pPr>
            <w:r>
              <w:rPr>
                <w:color w:val="000000"/>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ind w:firstLine="567"/>
              <w:jc w:val="both"/>
              <w:rPr>
                <w:color w:val="000000"/>
                <w:sz w:val="22"/>
                <w:szCs w:val="22"/>
                <w:lang w:val="uk-UA"/>
              </w:rPr>
            </w:pPr>
            <w:r>
              <w:rPr>
                <w:color w:val="000000"/>
                <w:sz w:val="22"/>
                <w:szCs w:val="22"/>
                <w:lang w:val="uk-UA"/>
              </w:rPr>
              <w:t>3) скорочення обсягу видатків на здійснення закупівлі товарів, робіт чи послуг;</w:t>
            </w:r>
          </w:p>
          <w:p>
            <w:pPr>
              <w:pStyle w:val="Normal"/>
              <w:widowControl w:val="false"/>
              <w:ind w:firstLine="567"/>
              <w:jc w:val="both"/>
              <w:rPr>
                <w:color w:val="000000"/>
                <w:sz w:val="22"/>
                <w:szCs w:val="22"/>
                <w:lang w:val="uk-UA"/>
              </w:rPr>
            </w:pPr>
            <w:r>
              <w:rPr>
                <w:color w:val="000000"/>
                <w:sz w:val="22"/>
                <w:szCs w:val="22"/>
                <w:lang w:val="uk-UA"/>
              </w:rPr>
              <w:t>4) коли здійснення закупівлі стало неможливим внаслідок дії обставин непереборної сили.</w:t>
            </w:r>
          </w:p>
          <w:p>
            <w:pPr>
              <w:pStyle w:val="Normal"/>
              <w:widowControl w:val="false"/>
              <w:ind w:firstLine="567"/>
              <w:jc w:val="both"/>
              <w:rPr>
                <w:color w:val="000000"/>
                <w:sz w:val="22"/>
                <w:szCs w:val="22"/>
                <w:lang w:val="uk-UA"/>
              </w:rPr>
            </w:pPr>
            <w:r>
              <w:rPr>
                <w:color w:val="000000"/>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ind w:firstLine="567"/>
              <w:jc w:val="both"/>
              <w:rPr>
                <w:color w:val="000000"/>
                <w:sz w:val="22"/>
                <w:szCs w:val="22"/>
                <w:lang w:val="uk-UA"/>
              </w:rPr>
            </w:pPr>
            <w:r>
              <w:rPr>
                <w:color w:val="000000"/>
                <w:sz w:val="22"/>
                <w:szCs w:val="22"/>
                <w:lang w:val="uk-UA"/>
              </w:rPr>
              <w:t> </w:t>
            </w:r>
            <w:r>
              <w:rPr>
                <w:color w:val="000000"/>
                <w:sz w:val="22"/>
                <w:szCs w:val="22"/>
                <w:lang w:val="uk-UA"/>
              </w:rPr>
              <w:t>Відкриті торги автоматично відміняються електронною системою закупівель у разі:</w:t>
            </w:r>
          </w:p>
          <w:p>
            <w:pPr>
              <w:pStyle w:val="Normal"/>
              <w:widowControl w:val="false"/>
              <w:ind w:firstLine="567"/>
              <w:jc w:val="both"/>
              <w:rPr>
                <w:sz w:val="22"/>
                <w:szCs w:val="22"/>
                <w:lang w:val="uk-UA"/>
              </w:rPr>
            </w:pPr>
            <w:r>
              <w:rPr>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ind w:firstLine="567"/>
              <w:jc w:val="both"/>
              <w:rPr>
                <w:sz w:val="22"/>
                <w:szCs w:val="22"/>
                <w:lang w:val="uk-UA"/>
              </w:rPr>
            </w:pPr>
            <w:r>
              <w:rPr>
                <w:color w:val="000000"/>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ind w:firstLine="567"/>
              <w:jc w:val="both"/>
              <w:rPr>
                <w:sz w:val="22"/>
                <w:szCs w:val="22"/>
                <w:lang w:val="uk-UA"/>
              </w:rPr>
            </w:pPr>
            <w:r>
              <w:rPr>
                <w:color w:val="000000"/>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ind w:firstLine="567"/>
              <w:jc w:val="both"/>
              <w:rPr>
                <w:color w:val="000000"/>
                <w:sz w:val="22"/>
                <w:szCs w:val="22"/>
                <w:lang w:val="uk-UA"/>
              </w:rPr>
            </w:pPr>
            <w:r>
              <w:rPr>
                <w:color w:val="000000"/>
                <w:sz w:val="22"/>
                <w:szCs w:val="22"/>
                <w:lang w:val="uk-UA"/>
              </w:rPr>
              <w:t> </w:t>
            </w:r>
            <w:r>
              <w:rPr>
                <w:color w:val="000000"/>
                <w:sz w:val="22"/>
                <w:szCs w:val="22"/>
                <w:lang w:val="uk-UA"/>
              </w:rPr>
              <w:t>Відкриті торги можуть бути відмінені частково (за лотом).</w:t>
            </w:r>
          </w:p>
          <w:p>
            <w:pPr>
              <w:pStyle w:val="Normal"/>
              <w:widowControl w:val="false"/>
              <w:ind w:firstLine="567"/>
              <w:jc w:val="both"/>
              <w:rPr>
                <w:color w:val="000000"/>
                <w:sz w:val="22"/>
                <w:szCs w:val="22"/>
                <w:lang w:val="uk-UA"/>
              </w:rPr>
            </w:pPr>
            <w:r>
              <w:rPr>
                <w:color w:val="000000"/>
                <w:sz w:val="22"/>
                <w:szCs w:val="22"/>
                <w:lang w:val="uk-UA"/>
              </w:rPr>
              <w:t> </w:t>
            </w:r>
            <w:r>
              <w:rPr>
                <w:color w:val="000000"/>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Строк укладання договору</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567"/>
              <w:jc w:val="both"/>
              <w:rPr>
                <w:color w:val="000000"/>
                <w:sz w:val="22"/>
                <w:szCs w:val="22"/>
                <w:lang w:val="uk-UA"/>
              </w:rPr>
            </w:pPr>
            <w:r>
              <w:rPr>
                <w:color w:val="000000"/>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ind w:firstLine="567"/>
              <w:jc w:val="both"/>
              <w:rPr>
                <w:color w:val="000000"/>
                <w:sz w:val="22"/>
                <w:szCs w:val="22"/>
                <w:lang w:val="uk-UA"/>
              </w:rPr>
            </w:pPr>
            <w:r>
              <w:rPr>
                <w:color w:val="000000"/>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57"/>
              <w:rPr>
                <w:rFonts w:ascii="Times New Roman" w:hAnsi="Times New Roman" w:cs="Times New Roman"/>
                <w:b/>
                <w:b/>
                <w:sz w:val="22"/>
                <w:szCs w:val="22"/>
                <w:lang w:eastAsia="uk-UA"/>
              </w:rPr>
            </w:pPr>
            <w:r>
              <w:rPr>
                <w:rFonts w:cs="Times New Roman" w:ascii="Times New Roman" w:hAnsi="Times New Roman"/>
                <w:b/>
                <w:sz w:val="22"/>
                <w:szCs w:val="22"/>
                <w:lang w:eastAsia="uk-UA"/>
              </w:rPr>
              <w:t>Проєкт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3"/>
              <w:rPr>
                <w:rFonts w:ascii="Times New Roman" w:hAnsi="Times New Roman" w:cs="Times New Roman"/>
                <w:sz w:val="22"/>
                <w:szCs w:val="22"/>
              </w:rPr>
            </w:pPr>
            <w:r>
              <w:rPr>
                <w:rFonts w:cs="Times New Roman" w:ascii="Times New Roman" w:hAnsi="Times New Roman"/>
                <w:sz w:val="22"/>
                <w:szCs w:val="22"/>
              </w:rPr>
              <w:t>Проєкт договору наведено у Додатку 4 до тендерної документації.</w:t>
            </w:r>
          </w:p>
          <w:p>
            <w:pPr>
              <w:pStyle w:val="NormalWeb"/>
              <w:widowControl w:val="false"/>
              <w:spacing w:lineRule="auto" w:line="240" w:beforeAutospacing="0" w:before="0" w:afterAutospacing="0" w:after="0"/>
              <w:ind w:right="120" w:firstLine="511"/>
              <w:rPr>
                <w:rFonts w:ascii="Times New Roman" w:hAnsi="Times New Roman" w:cs="Times New Roman"/>
                <w:color w:val="000000"/>
                <w:sz w:val="22"/>
                <w:szCs w:val="22"/>
                <w:lang w:val="uk-UA"/>
              </w:rPr>
            </w:pPr>
            <w:r>
              <w:rPr>
                <w:rFonts w:cs="Times New Roman" w:ascii="Times New Roman" w:hAnsi="Times New Roman"/>
                <w:color w:val="000000"/>
                <w:sz w:val="22"/>
                <w:szCs w:val="22"/>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pStyle w:val="15"/>
              <w:widowControl w:val="false"/>
              <w:spacing w:lineRule="auto" w:line="240" w:before="0" w:after="0"/>
              <w:ind w:firstLine="511"/>
              <w:rPr>
                <w:rFonts w:ascii="Times New Roman" w:hAnsi="Times New Roman" w:cs="Times New Roman"/>
                <w:color w:val="000000"/>
                <w:sz w:val="22"/>
                <w:szCs w:val="22"/>
              </w:rPr>
            </w:pPr>
            <w:r>
              <w:rPr>
                <w:rFonts w:cs="Times New Roman" w:ascii="Times New Roman" w:hAnsi="Times New Roman"/>
                <w:color w:val="000000"/>
                <w:sz w:val="22"/>
                <w:szCs w:val="22"/>
              </w:rPr>
              <w:t>Переможець процедури закупівлі під час укладення договору про закупівлю повинен надати:</w:t>
            </w:r>
          </w:p>
          <w:p>
            <w:pPr>
              <w:pStyle w:val="15"/>
              <w:widowControl w:val="false"/>
              <w:spacing w:lineRule="auto" w:line="240" w:before="0" w:after="0"/>
              <w:ind w:firstLine="511"/>
              <w:rPr>
                <w:rFonts w:ascii="Times New Roman" w:hAnsi="Times New Roman" w:cs="Times New Roman"/>
                <w:color w:val="000000"/>
                <w:sz w:val="22"/>
                <w:szCs w:val="22"/>
              </w:rPr>
            </w:pPr>
            <w:r>
              <w:rPr>
                <w:rFonts w:cs="Times New Roman" w:ascii="Times New Roman" w:hAnsi="Times New Roman"/>
                <w:color w:val="000000"/>
                <w:sz w:val="22"/>
                <w:szCs w:val="22"/>
              </w:rPr>
              <w:t>1) інформацію про право підписання договору про закупівлю;</w:t>
            </w:r>
          </w:p>
          <w:p>
            <w:pPr>
              <w:pStyle w:val="15"/>
              <w:widowControl w:val="false"/>
              <w:spacing w:lineRule="auto" w:line="240" w:before="0" w:after="0"/>
              <w:ind w:firstLine="511"/>
              <w:rPr>
                <w:rFonts w:ascii="Times New Roman" w:hAnsi="Times New Roman" w:cs="Times New Roman"/>
                <w:color w:val="000000"/>
                <w:sz w:val="22"/>
                <w:szCs w:val="22"/>
              </w:rPr>
            </w:pPr>
            <w:r>
              <w:rPr>
                <w:rFonts w:cs="Times New Roman" w:ascii="Times New Roman" w:hAnsi="Times New Roman"/>
                <w:color w:val="000000"/>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15"/>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399"/>
              <w:rPr>
                <w:rFonts w:ascii="Times New Roman" w:hAnsi="Times New Roman" w:cs="Times New Roman"/>
                <w:sz w:val="22"/>
                <w:szCs w:val="22"/>
              </w:rPr>
            </w:pPr>
            <w:r>
              <w:rPr>
                <w:rFonts w:cs="Times New Roman" w:ascii="Times New Roman" w:hAnsi="Times New Roman"/>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15"/>
              <w:widowControl w:val="false"/>
              <w:spacing w:lineRule="auto" w:line="240" w:before="0" w:after="0"/>
              <w:ind w:firstLine="511"/>
              <w:rPr>
                <w:rFonts w:ascii="Times New Roman" w:hAnsi="Times New Roman" w:cs="Times New Roman"/>
                <w:sz w:val="22"/>
                <w:szCs w:val="22"/>
                <w:lang w:eastAsia="ar-SA"/>
              </w:rPr>
            </w:pPr>
            <w:r>
              <w:rPr>
                <w:rFonts w:cs="Times New Roman" w:ascii="Times New Roman" w:hAnsi="Times New Roman"/>
                <w:sz w:val="22"/>
                <w:szCs w:val="22"/>
                <w:lang w:eastAsia="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Постанови.</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Умови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pPr>
              <w:pStyle w:val="Normal"/>
              <w:widowControl w:val="false"/>
              <w:ind w:firstLine="567"/>
              <w:jc w:val="both"/>
              <w:rPr>
                <w:color w:val="000000"/>
                <w:sz w:val="22"/>
                <w:szCs w:val="22"/>
                <w:lang w:val="uk-UA"/>
              </w:rPr>
            </w:pPr>
            <w:r>
              <w:rPr>
                <w:color w:val="000000"/>
                <w:sz w:val="22"/>
                <w:szCs w:val="22"/>
                <w:lang w:val="uk-UA"/>
              </w:rPr>
              <w:t> </w:t>
            </w:r>
            <w:r>
              <w:rPr>
                <w:color w:val="000000"/>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ind w:firstLine="567"/>
              <w:jc w:val="both"/>
              <w:rPr>
                <w:color w:val="000000"/>
                <w:sz w:val="22"/>
                <w:szCs w:val="22"/>
                <w:lang w:val="uk-UA"/>
              </w:rPr>
            </w:pPr>
            <w:r>
              <w:rPr>
                <w:color w:val="000000"/>
                <w:sz w:val="22"/>
                <w:szCs w:val="22"/>
                <w:lang w:val="uk-UA"/>
              </w:rPr>
              <w:t>1) зменшення обсягів закупівлі, зокрема з урахуванням фактичного обсягу видатків замовника;</w:t>
            </w:r>
          </w:p>
          <w:p>
            <w:pPr>
              <w:pStyle w:val="Normal"/>
              <w:widowControl w:val="false"/>
              <w:ind w:firstLine="567"/>
              <w:jc w:val="both"/>
              <w:rPr>
                <w:color w:val="000000"/>
                <w:sz w:val="22"/>
                <w:szCs w:val="22"/>
                <w:lang w:val="uk-UA"/>
              </w:rPr>
            </w:pPr>
            <w:r>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firstLine="567"/>
              <w:jc w:val="both"/>
              <w:rPr>
                <w:color w:val="000000"/>
                <w:sz w:val="22"/>
                <w:szCs w:val="22"/>
                <w:lang w:val="uk-UA"/>
              </w:rPr>
            </w:pPr>
            <w:r>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firstLine="567"/>
              <w:jc w:val="both"/>
              <w:rPr>
                <w:color w:val="000000"/>
                <w:sz w:val="22"/>
                <w:szCs w:val="22"/>
                <w:lang w:val="uk-UA"/>
              </w:rPr>
            </w:pPr>
            <w:r>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firstLine="567"/>
              <w:jc w:val="both"/>
              <w:rPr>
                <w:color w:val="000000"/>
                <w:sz w:val="22"/>
                <w:szCs w:val="22"/>
                <w:lang w:val="uk-UA"/>
              </w:rPr>
            </w:pPr>
            <w:r>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firstLine="567"/>
              <w:jc w:val="both"/>
              <w:rPr>
                <w:color w:val="000000"/>
                <w:sz w:val="22"/>
                <w:szCs w:val="22"/>
                <w:lang w:val="uk-UA"/>
              </w:rPr>
            </w:pPr>
            <w:r>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firstLine="567"/>
              <w:jc w:val="both"/>
              <w:rPr>
                <w:color w:val="000000"/>
                <w:sz w:val="22"/>
                <w:szCs w:val="22"/>
                <w:lang w:val="uk-UA"/>
              </w:rPr>
            </w:pPr>
            <w:r>
              <w:rPr>
                <w:color w:val="000000"/>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firstLine="567"/>
              <w:jc w:val="both"/>
              <w:rPr>
                <w:sz w:val="22"/>
                <w:szCs w:val="22"/>
                <w:lang w:val="uk-UA"/>
              </w:rPr>
            </w:pPr>
            <w:r>
              <w:rPr>
                <w:color w:val="000000"/>
                <w:sz w:val="22"/>
                <w:szCs w:val="22"/>
                <w:lang w:val="uk-UA"/>
              </w:rPr>
              <w:t>8) зміни умов у зв’язку із застосуванням положень частини шостої статті 41 Закону.</w:t>
            </w:r>
          </w:p>
          <w:p>
            <w:pPr>
              <w:pStyle w:val="Normal"/>
              <w:widowControl w:val="false"/>
              <w:ind w:firstLine="567"/>
              <w:jc w:val="both"/>
              <w:rPr>
                <w:color w:val="000000"/>
                <w:sz w:val="22"/>
                <w:szCs w:val="22"/>
                <w:lang w:val="uk-UA"/>
              </w:rPr>
            </w:pPr>
            <w:r>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5</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Дії замовника при відмові переможця торгів підписати договір про закупівлю</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firstLine="404"/>
              <w:rPr/>
            </w:pPr>
            <w:r>
              <w:rPr>
                <w:rStyle w:val="Rvts0"/>
                <w:rFonts w:eastAsia="" w:cs="Times New Roman" w:ascii="Times New Roman" w:hAnsi="Times New Roman" w:eastAsiaTheme="majorEastAsia"/>
                <w:sz w:val="22"/>
                <w:szCs w:val="22"/>
              </w:rPr>
              <w:t>У разі відмови переможця процедури закупівлі від підписання договору про закупівлю відповідно до вимог тендерної документації,</w:t>
            </w:r>
          </w:p>
          <w:p>
            <w:pPr>
              <w:pStyle w:val="Normal"/>
              <w:widowControl w:val="false"/>
              <w:ind w:firstLine="567"/>
              <w:jc w:val="both"/>
              <w:rPr>
                <w:color w:val="000000"/>
                <w:sz w:val="22"/>
                <w:szCs w:val="22"/>
                <w:lang w:val="uk-UA"/>
              </w:rPr>
            </w:pPr>
            <w:r>
              <w:rPr>
                <w:color w:val="000000"/>
                <w:sz w:val="22"/>
                <w:szCs w:val="22"/>
                <w:lang w:val="uk-UA"/>
              </w:rPr>
              <w:t xml:space="preserve"> </w:t>
            </w:r>
            <w:r>
              <w:rPr>
                <w:color w:val="000000"/>
                <w:sz w:val="22"/>
                <w:szCs w:val="22"/>
                <w:lang w:val="uk-UA"/>
              </w:rPr>
              <w:t>або укладення договору про закупівлю;</w:t>
            </w:r>
          </w:p>
          <w:p>
            <w:pPr>
              <w:pStyle w:val="Normal"/>
              <w:widowControl w:val="false"/>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ind w:firstLine="567"/>
              <w:jc w:val="both"/>
              <w:rPr>
                <w:color w:val="000000"/>
                <w:sz w:val="22"/>
                <w:szCs w:val="22"/>
                <w:lang w:val="uk-UA"/>
              </w:rPr>
            </w:pPr>
            <w:r>
              <w:rPr>
                <w:color w:val="000000"/>
                <w:sz w:val="22"/>
                <w:szCs w:val="22"/>
                <w:lang w:val="uk-UA"/>
              </w:rPr>
              <w:t>не надав забезпечення виконання договору про закупівлю, якщо таке забезпечення вимагалося замовником;</w:t>
            </w:r>
          </w:p>
          <w:p>
            <w:pPr>
              <w:pStyle w:val="Normal"/>
              <w:widowControl w:val="false"/>
              <w:ind w:firstLine="567"/>
              <w:jc w:val="both"/>
              <w:rPr>
                <w:lang w:val="uk-UA"/>
              </w:rPr>
            </w:pPr>
            <w:r>
              <w:rPr>
                <w:rStyle w:val="Rvts0"/>
                <w:color w:val="000000"/>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ind w:firstLine="567"/>
              <w:jc w:val="both"/>
              <w:rPr>
                <w:lang w:val="uk-UA"/>
              </w:rPr>
            </w:pPr>
            <w:r>
              <w:rPr>
                <w:rStyle w:val="Rvts0"/>
                <w:color w:val="000000"/>
                <w:sz w:val="22"/>
                <w:szCs w:val="22"/>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1023"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ind w:left="113" w:right="113" w:hanging="0"/>
              <w:rPr>
                <w:rFonts w:ascii="Times New Roman" w:hAnsi="Times New Roman" w:cs="Times New Roman"/>
                <w:b/>
                <w:b/>
                <w:sz w:val="22"/>
                <w:szCs w:val="22"/>
                <w:lang w:eastAsia="uk-UA"/>
              </w:rPr>
            </w:pPr>
            <w:r>
              <w:rPr>
                <w:rFonts w:cs="Times New Roman" w:ascii="Times New Roman" w:hAnsi="Times New Roman"/>
                <w:b/>
                <w:sz w:val="22"/>
                <w:szCs w:val="22"/>
                <w:lang w:eastAsia="uk-UA"/>
              </w:rPr>
              <w:t>Забезпечення виконання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pPr>
              <w:pStyle w:val="15"/>
              <w:widowControl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Не вимагається</w:t>
            </w:r>
          </w:p>
        </w:tc>
      </w:tr>
    </w:tbl>
    <w:p>
      <w:pPr>
        <w:pStyle w:val="15"/>
        <w:rPr>
          <w:rFonts w:ascii="Times New Roman" w:hAnsi="Times New Roman" w:cs="Times New Roman"/>
          <w:b/>
          <w:b/>
          <w:i/>
          <w:i/>
          <w:sz w:val="22"/>
          <w:szCs w:val="22"/>
        </w:rPr>
      </w:pPr>
      <w:r>
        <w:rPr>
          <w:rFonts w:cs="Times New Roman" w:ascii="Times New Roman" w:hAnsi="Times New Roman"/>
          <w:b/>
          <w:i/>
          <w:sz w:val="22"/>
          <w:szCs w:val="22"/>
        </w:rPr>
      </w:r>
    </w:p>
    <w:p>
      <w:pPr>
        <w:pStyle w:val="Style31"/>
        <w:rPr>
          <w:lang w:val="ru-RU"/>
        </w:rPr>
      </w:pPr>
      <w:r>
        <w:rPr>
          <w:rFonts w:cs="Times New Roman" w:ascii="Times New Roman" w:hAnsi="Times New Roman"/>
          <w:b/>
          <w:i/>
          <w:sz w:val="22"/>
          <w:szCs w:val="22"/>
          <w:lang w:val="uk-UA"/>
        </w:rPr>
        <w:t>Довідки та інші документи, які вимагаються тендерною документацією повинні бути чинними на дату розкриття тендерних пропозицій.</w:t>
      </w:r>
    </w:p>
    <w:p>
      <w:pPr>
        <w:pStyle w:val="15"/>
        <w:rPr/>
      </w:pPr>
      <w:r>
        <w:rPr>
          <w:rFonts w:cs="Times New Roman" w:ascii="Times New Roman" w:hAnsi="Times New Roman"/>
          <w:b/>
          <w:sz w:val="22"/>
          <w:szCs w:val="22"/>
        </w:rPr>
        <w:t>Примітки:</w:t>
      </w:r>
    </w:p>
    <w:p>
      <w:pPr>
        <w:pStyle w:val="15"/>
        <w:tabs>
          <w:tab w:val="clear" w:pos="720"/>
          <w:tab w:val="left" w:pos="0" w:leader="none"/>
        </w:tabs>
        <w:rPr/>
      </w:pPr>
      <w:r>
        <w:rPr>
          <w:rFonts w:cs="Times New Roman" w:ascii="Times New Roman" w:hAnsi="Times New Roman"/>
          <w:i/>
          <w:color w:val="000000"/>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15"/>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rFonts w:ascii="Times New Roman" w:hAnsi="Times New Roman" w:cs="Times New Roman"/>
          <w:sz w:val="22"/>
          <w:szCs w:val="22"/>
        </w:rPr>
      </w:pPr>
      <w:r>
        <w:rPr>
          <w:rFonts w:cs="Times New Roman" w:ascii="Times New Roman" w:hAnsi="Times New Roman"/>
          <w:sz w:val="22"/>
          <w:szCs w:val="22"/>
        </w:rPr>
      </w:r>
    </w:p>
    <w:p>
      <w:pPr>
        <w:pStyle w:val="15"/>
        <w:ind w:left="6804" w:right="-25" w:firstLine="737"/>
        <w:jc w:val="right"/>
        <w:rPr/>
      </w:pPr>
      <w:r>
        <w:rPr>
          <w:rFonts w:cs="Times New Roman" w:ascii="Times New Roman" w:hAnsi="Times New Roman"/>
          <w:b/>
          <w:sz w:val="22"/>
          <w:szCs w:val="22"/>
        </w:rPr>
        <w:t>ДОДАТОК 1</w:t>
      </w:r>
    </w:p>
    <w:p>
      <w:pPr>
        <w:pStyle w:val="15"/>
        <w:ind w:left="6804" w:right="-25" w:firstLine="737"/>
        <w:jc w:val="right"/>
        <w:rPr/>
      </w:pPr>
      <w:r>
        <w:rPr>
          <w:rFonts w:cs="Times New Roman" w:ascii="Times New Roman" w:hAnsi="Times New Roman"/>
          <w:b/>
          <w:sz w:val="22"/>
          <w:szCs w:val="22"/>
        </w:rPr>
        <w:t>тендерної документації</w:t>
      </w:r>
    </w:p>
    <w:p>
      <w:pPr>
        <w:pStyle w:val="15"/>
        <w:widowControl w:val="false"/>
        <w:jc w:val="center"/>
        <w:rPr/>
      </w:pPr>
      <w:r>
        <w:rPr>
          <w:rFonts w:cs="Times New Roman" w:ascii="Times New Roman" w:hAnsi="Times New Roman"/>
          <w:b/>
          <w:bCs/>
          <w:sz w:val="22"/>
          <w:szCs w:val="22"/>
        </w:rPr>
        <w:t>ФОРМА "ТЕНДЕРНА ПРОПОЗИЦІЯ "</w:t>
      </w:r>
    </w:p>
    <w:p>
      <w:pPr>
        <w:pStyle w:val="15"/>
        <w:ind w:left="360" w:firstLine="737"/>
        <w:rPr/>
      </w:pPr>
      <w:r>
        <w:rPr>
          <w:rFonts w:cs="Times New Roman" w:ascii="Times New Roman" w:hAnsi="Times New Roman"/>
          <w:i/>
          <w:sz w:val="22"/>
          <w:szCs w:val="22"/>
        </w:rPr>
        <w:t xml:space="preserve">(форма, яка подається Учасником. </w:t>
      </w:r>
      <w:r>
        <w:rPr>
          <w:rStyle w:val="12"/>
          <w:rFonts w:ascii="Times New Roman" w:hAnsi="Times New Roman"/>
          <w:iCs/>
          <w:color w:val="121212"/>
          <w:sz w:val="22"/>
          <w:szCs w:val="22"/>
        </w:rPr>
        <w:t>Учасник не повинен відступати від даної форми</w:t>
      </w:r>
      <w:r>
        <w:rPr>
          <w:rFonts w:cs="Times New Roman" w:ascii="Times New Roman" w:hAnsi="Times New Roman"/>
          <w:i/>
          <w:sz w:val="22"/>
          <w:szCs w:val="22"/>
        </w:rPr>
        <w:t xml:space="preserve"> )</w:t>
      </w:r>
    </w:p>
    <w:p>
      <w:pPr>
        <w:pStyle w:val="15"/>
        <w:ind w:right="-25" w:firstLine="737"/>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15"/>
        <w:ind w:firstLine="360"/>
        <w:rPr/>
      </w:pPr>
      <w:r>
        <w:rPr>
          <w:rFonts w:cs="Times New Roman" w:ascii="Times New Roman" w:hAnsi="Times New Roman"/>
          <w:sz w:val="22"/>
          <w:szCs w:val="22"/>
          <w:lang w:val="ru-RU"/>
        </w:rPr>
        <w:t xml:space="preserve">     </w:t>
      </w:r>
      <w:r>
        <w:rPr>
          <w:rFonts w:cs="Times New Roman" w:ascii="Times New Roman" w:hAnsi="Times New Roman"/>
          <w:sz w:val="22"/>
          <w:szCs w:val="22"/>
        </w:rPr>
        <w:t xml:space="preserve">Ми, _____ (назва Учасника), надаємо свою пропозицію щодо участі у відкритих торгах на закупівлю: </w:t>
      </w:r>
      <w:r>
        <w:rPr>
          <w:rFonts w:cs="Times New Roman" w:ascii="Times New Roman" w:hAnsi="Times New Roman"/>
          <w:b/>
          <w:bCs/>
          <w:sz w:val="22"/>
          <w:szCs w:val="22"/>
        </w:rPr>
        <w:t xml:space="preserve">Послуги з калібрування засобів вимірювальної техніки  </w:t>
      </w:r>
      <w:r>
        <w:rPr>
          <w:rStyle w:val="Style7"/>
          <w:rFonts w:eastAsia="Tahoma" w:cs="Times New Roman" w:ascii="Times New Roman" w:hAnsi="Times New Roman"/>
          <w:b/>
          <w:bCs/>
          <w:color w:val="000000"/>
          <w:sz w:val="22"/>
          <w:szCs w:val="22"/>
          <w:u w:val="none"/>
          <w:lang w:eastAsia="uk-UA"/>
        </w:rPr>
        <w:t xml:space="preserve">Код ДК 021:2015 50430000-8 Послуги з ремонтування і технічного обслуговування високоточного обладнання </w:t>
      </w:r>
      <w:r>
        <w:rPr>
          <w:rStyle w:val="Xfm65937140"/>
          <w:rFonts w:ascii="Times New Roman" w:hAnsi="Times New Roman"/>
          <w:sz w:val="22"/>
          <w:szCs w:val="22"/>
        </w:rPr>
        <w:t xml:space="preserve"> </w:t>
      </w:r>
      <w:r>
        <w:rPr>
          <w:rFonts w:cs="Times New Roman" w:ascii="Times New Roman" w:hAnsi="Times New Roman"/>
          <w:sz w:val="22"/>
          <w:szCs w:val="22"/>
        </w:rPr>
        <w:t>згідно з вимогами Замовника торгів.</w:t>
      </w:r>
    </w:p>
    <w:p>
      <w:pPr>
        <w:pStyle w:val="15"/>
        <w:ind w:firstLine="360"/>
        <w:rPr>
          <w:rFonts w:ascii="Times New Roman" w:hAnsi="Times New Roman" w:cs="Times New Roman"/>
          <w:sz w:val="22"/>
          <w:szCs w:val="22"/>
        </w:rPr>
      </w:pPr>
      <w:r>
        <w:rPr>
          <w:rFonts w:cs="Times New Roman" w:ascii="Times New Roman" w:hAnsi="Times New Roman"/>
          <w:sz w:val="22"/>
          <w:szCs w:val="22"/>
        </w:rPr>
      </w:r>
    </w:p>
    <w:tbl>
      <w:tblPr>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82"/>
        <w:gridCol w:w="3515"/>
      </w:tblGrid>
      <w:tr>
        <w:trPr>
          <w:trHeight w:val="199" w:hRule="atLeast"/>
        </w:trPr>
        <w:tc>
          <w:tcPr>
            <w:tcW w:w="7082" w:type="dxa"/>
            <w:tcBorders/>
            <w:shd w:color="auto" w:fill="auto" w:val="clear"/>
          </w:tcPr>
          <w:p>
            <w:pPr>
              <w:pStyle w:val="Normal"/>
              <w:widowControl w:val="false"/>
              <w:numPr>
                <w:ilvl w:val="0"/>
                <w:numId w:val="2"/>
              </w:numPr>
              <w:ind w:left="164" w:hanging="0"/>
              <w:jc w:val="both"/>
              <w:rPr>
                <w:rFonts w:eastAsia="Times New Roman"/>
                <w:sz w:val="20"/>
                <w:szCs w:val="22"/>
                <w:lang w:val="uk-UA"/>
              </w:rPr>
            </w:pPr>
            <w:r>
              <w:rPr>
                <w:rFonts w:eastAsia="Times New Roman"/>
                <w:sz w:val="20"/>
                <w:szCs w:val="22"/>
                <w:lang w:val="uk-UA"/>
              </w:rPr>
              <w:t>Повне найменування Учасника</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ind w:left="164" w:hanging="0"/>
              <w:jc w:val="both"/>
              <w:rPr>
                <w:rFonts w:eastAsia="Times New Roman"/>
                <w:sz w:val="20"/>
                <w:szCs w:val="22"/>
                <w:lang w:val="uk-UA"/>
              </w:rPr>
            </w:pPr>
            <w:r>
              <w:rPr>
                <w:rFonts w:eastAsia="Times New Roman"/>
                <w:sz w:val="20"/>
                <w:szCs w:val="22"/>
                <w:lang w:val="uk-UA"/>
              </w:rPr>
              <w:t>Код ЄДРПОУ</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Адреса (юридична та фактична)</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Телефон/факс</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Е-mail</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Відомості про керівника (посада, ПІБ, тел.)</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Відомості про повноваження посадової особи або підписанта договору (посада, ПІБ, тел.)</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Банківські реквізити</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r>
        <w:trPr/>
        <w:tc>
          <w:tcPr>
            <w:tcW w:w="7082" w:type="dxa"/>
            <w:tcBorders/>
            <w:shd w:color="auto" w:fill="auto" w:val="clear"/>
          </w:tcPr>
          <w:p>
            <w:pPr>
              <w:pStyle w:val="Normal"/>
              <w:widowControl w:val="false"/>
              <w:numPr>
                <w:ilvl w:val="0"/>
                <w:numId w:val="2"/>
              </w:numPr>
              <w:spacing w:before="0" w:after="0"/>
              <w:ind w:left="164" w:hanging="0"/>
              <w:contextualSpacing/>
              <w:jc w:val="both"/>
              <w:rPr>
                <w:rFonts w:eastAsia="Times New Roman"/>
                <w:sz w:val="20"/>
                <w:szCs w:val="22"/>
                <w:lang w:val="uk-UA"/>
              </w:rPr>
            </w:pPr>
            <w:r>
              <w:rPr>
                <w:rFonts w:eastAsia="Times New Roman"/>
                <w:sz w:val="20"/>
                <w:szCs w:val="22"/>
                <w:lang w:val="uk-UA"/>
              </w:rPr>
              <w:t>Статус постачальника (виробник, дилер, дистриб’ютор, трейдер, тощо)</w:t>
            </w:r>
          </w:p>
        </w:tc>
        <w:tc>
          <w:tcPr>
            <w:tcW w:w="3515" w:type="dxa"/>
            <w:tcBorders/>
            <w:shd w:color="auto" w:fill="auto" w:val="clear"/>
          </w:tcPr>
          <w:p>
            <w:pPr>
              <w:pStyle w:val="Normal"/>
              <w:widowControl w:val="false"/>
              <w:spacing w:before="0" w:after="0"/>
              <w:ind w:firstLine="501"/>
              <w:contextualSpacing/>
              <w:jc w:val="both"/>
              <w:rPr>
                <w:rFonts w:eastAsia="Times New Roman"/>
                <w:sz w:val="20"/>
                <w:szCs w:val="22"/>
              </w:rPr>
            </w:pPr>
            <w:r>
              <w:rPr>
                <w:rFonts w:eastAsia="Times New Roman"/>
                <w:sz w:val="20"/>
                <w:szCs w:val="22"/>
              </w:rPr>
            </w:r>
          </w:p>
        </w:tc>
      </w:tr>
    </w:tbl>
    <w:p>
      <w:pPr>
        <w:pStyle w:val="15"/>
        <w:spacing w:before="0" w:after="150"/>
        <w:ind w:left="-49" w:firstLine="757"/>
        <w:rPr/>
      </w:pPr>
      <w:r>
        <w:rPr/>
      </w:r>
    </w:p>
    <w:p>
      <w:pPr>
        <w:pStyle w:val="15"/>
        <w:spacing w:before="0" w:after="150"/>
        <w:ind w:left="-49" w:firstLine="757"/>
        <w:rPr/>
      </w:pPr>
      <w:r>
        <w:rPr>
          <w:rFonts w:cs="Times New Roman" w:ascii="Times New Roman" w:hAnsi="Times New Roman"/>
          <w:color w:val="121212"/>
          <w:sz w:val="22"/>
          <w:szCs w:val="22"/>
        </w:rPr>
        <w:t xml:space="preserve">Вивчивши </w:t>
      </w:r>
      <w:r>
        <w:rPr>
          <w:rFonts w:cs="Times New Roman" w:ascii="Times New Roman" w:hAnsi="Times New Roman"/>
          <w:sz w:val="22"/>
          <w:szCs w:val="22"/>
        </w:rPr>
        <w:t>тендерну документацію</w:t>
      </w:r>
      <w:r>
        <w:rPr>
          <w:rFonts w:cs="Times New Roman" w:ascii="Times New Roman" w:hAnsi="Times New Roman"/>
          <w:color w:val="121212"/>
          <w:sz w:val="22"/>
          <w:szCs w:val="22"/>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pPr>
        <w:pStyle w:val="15"/>
        <w:spacing w:before="0" w:after="150"/>
        <w:ind w:left="-49" w:firstLine="757"/>
        <w:rPr>
          <w:rFonts w:ascii="Times New Roman" w:hAnsi="Times New Roman" w:cs="Times New Roman"/>
          <w:color w:val="121212"/>
          <w:sz w:val="22"/>
          <w:szCs w:val="22"/>
        </w:rPr>
      </w:pPr>
      <w:r>
        <w:rPr>
          <w:rFonts w:cs="Times New Roman" w:ascii="Times New Roman" w:hAnsi="Times New Roman"/>
          <w:color w:val="121212"/>
          <w:sz w:val="22"/>
          <w:szCs w:val="22"/>
        </w:rPr>
      </w:r>
    </w:p>
    <w:tbl>
      <w:tblPr>
        <w:tblW w:w="10036" w:type="dxa"/>
        <w:jc w:val="left"/>
        <w:tblInd w:w="-343" w:type="dxa"/>
        <w:tblLayout w:type="fixed"/>
        <w:tblCellMar>
          <w:top w:w="0" w:type="dxa"/>
          <w:left w:w="13" w:type="dxa"/>
          <w:bottom w:w="0" w:type="dxa"/>
          <w:right w:w="108" w:type="dxa"/>
        </w:tblCellMar>
      </w:tblPr>
      <w:tblGrid>
        <w:gridCol w:w="584"/>
        <w:gridCol w:w="5251"/>
        <w:gridCol w:w="1078"/>
        <w:gridCol w:w="1595"/>
        <w:gridCol w:w="1528"/>
      </w:tblGrid>
      <w:tr>
        <w:trPr>
          <w:trHeight w:val="563" w:hRule="atLeast"/>
        </w:trPr>
        <w:tc>
          <w:tcPr>
            <w:tcW w:w="584"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40" w:before="20" w:after="20"/>
              <w:rPr>
                <w:rFonts w:ascii="Times New Roman" w:hAnsi="Times New Roman" w:cs="Times New Roman"/>
                <w:b w:val="false"/>
                <w:b w:val="false"/>
                <w:bCs w:val="false"/>
                <w:sz w:val="22"/>
                <w:szCs w:val="22"/>
              </w:rPr>
            </w:pPr>
            <w:r>
              <w:rPr>
                <w:rFonts w:cs="Times New Roman"/>
                <w:b w:val="false"/>
                <w:bCs w:val="false"/>
                <w:sz w:val="22"/>
                <w:szCs w:val="22"/>
              </w:rPr>
              <w:t>№</w:t>
            </w:r>
          </w:p>
          <w:p>
            <w:pPr>
              <w:pStyle w:val="Normal"/>
              <w:widowControl w:val="false"/>
              <w:spacing w:lineRule="auto" w:line="240" w:before="20" w:after="20"/>
              <w:rPr>
                <w:rFonts w:ascii="Times New Roman" w:hAnsi="Times New Roman" w:cs="Times New Roman"/>
                <w:b w:val="false"/>
                <w:b w:val="false"/>
                <w:bCs w:val="false"/>
                <w:sz w:val="22"/>
                <w:szCs w:val="22"/>
              </w:rPr>
            </w:pPr>
            <w:r>
              <w:rPr>
                <w:rFonts w:cs="Times New Roman"/>
                <w:b w:val="false"/>
                <w:bCs w:val="false"/>
                <w:sz w:val="22"/>
                <w:szCs w:val="22"/>
              </w:rPr>
              <w:t>з/п</w:t>
            </w:r>
          </w:p>
        </w:tc>
        <w:tc>
          <w:tcPr>
            <w:tcW w:w="5251" w:type="dxa"/>
            <w:tcBorders>
              <w:top w:val="single" w:sz="4" w:space="0" w:color="00000A"/>
              <w:left w:val="single" w:sz="4" w:space="0" w:color="00000A"/>
              <w:bottom w:val="single" w:sz="4" w:space="0" w:color="00000A"/>
              <w:right w:val="single" w:sz="4" w:space="0" w:color="00000A"/>
            </w:tcBorders>
          </w:tcPr>
          <w:p>
            <w:pPr>
              <w:pStyle w:val="Normal"/>
              <w:widowControl w:val="false"/>
              <w:snapToGrid w:val="false"/>
              <w:spacing w:lineRule="auto" w:line="240" w:before="20" w:after="20"/>
              <w:jc w:val="center"/>
              <w:rPr>
                <w:rFonts w:ascii="Times New Roman" w:hAnsi="Times New Roman" w:cs="Times New Roman"/>
                <w:b w:val="false"/>
                <w:b w:val="false"/>
                <w:bCs w:val="false"/>
                <w:sz w:val="22"/>
                <w:szCs w:val="22"/>
              </w:rPr>
            </w:pPr>
            <w:r>
              <w:rPr>
                <w:rFonts w:cs="Times New Roman"/>
                <w:b w:val="false"/>
                <w:bCs w:val="false"/>
                <w:sz w:val="22"/>
                <w:szCs w:val="22"/>
              </w:rPr>
            </w:r>
          </w:p>
          <w:p>
            <w:pPr>
              <w:pStyle w:val="Normal"/>
              <w:widowControl w:val="false"/>
              <w:spacing w:lineRule="auto" w:line="240" w:before="20" w:after="20"/>
              <w:jc w:val="center"/>
              <w:rPr>
                <w:rFonts w:ascii="Times New Roman" w:hAnsi="Times New Roman" w:cs="Times New Roman"/>
                <w:b w:val="false"/>
                <w:b w:val="false"/>
                <w:bCs w:val="false"/>
                <w:sz w:val="22"/>
                <w:szCs w:val="22"/>
              </w:rPr>
            </w:pPr>
            <w:r>
              <w:rPr>
                <w:rFonts w:cs="Times New Roman"/>
                <w:b w:val="false"/>
                <w:bCs w:val="false"/>
                <w:sz w:val="22"/>
                <w:szCs w:val="22"/>
              </w:rPr>
              <w:t>Назва ЗВТ</w:t>
            </w:r>
          </w:p>
        </w:tc>
        <w:tc>
          <w:tcPr>
            <w:tcW w:w="1078" w:type="dxa"/>
            <w:tcBorders>
              <w:top w:val="single" w:sz="4" w:space="0" w:color="00000A"/>
              <w:left w:val="single" w:sz="4" w:space="0" w:color="00000A"/>
              <w:bottom w:val="single" w:sz="4" w:space="0" w:color="00000A"/>
            </w:tcBorders>
          </w:tcPr>
          <w:p>
            <w:pPr>
              <w:pStyle w:val="Normal"/>
              <w:widowControl w:val="false"/>
              <w:snapToGrid w:val="false"/>
              <w:spacing w:lineRule="auto" w:line="240" w:before="20" w:after="20"/>
              <w:jc w:val="center"/>
              <w:rPr>
                <w:rFonts w:ascii="Times New Roman" w:hAnsi="Times New Roman" w:cs="Times New Roman"/>
                <w:b w:val="false"/>
                <w:b w:val="false"/>
                <w:bCs w:val="false"/>
                <w:sz w:val="22"/>
                <w:szCs w:val="22"/>
              </w:rPr>
            </w:pPr>
            <w:r>
              <w:rPr>
                <w:rFonts w:cs="Times New Roman"/>
                <w:b w:val="false"/>
                <w:bCs w:val="false"/>
                <w:sz w:val="22"/>
                <w:szCs w:val="22"/>
              </w:rPr>
            </w:r>
          </w:p>
          <w:p>
            <w:pPr>
              <w:pStyle w:val="Normal"/>
              <w:widowControl w:val="false"/>
              <w:spacing w:lineRule="auto" w:line="240" w:before="20" w:after="20"/>
              <w:jc w:val="center"/>
              <w:rPr>
                <w:rFonts w:ascii="Times New Roman" w:hAnsi="Times New Roman" w:eastAsia="Calibri" w:cs="Times New Roman" w:eastAsiaTheme="minorHAnsi"/>
                <w:b w:val="false"/>
                <w:b w:val="false"/>
                <w:bCs w:val="false"/>
                <w:color w:val="auto"/>
                <w:kern w:val="0"/>
                <w:sz w:val="22"/>
                <w:szCs w:val="22"/>
                <w:lang w:val="uk-UA" w:eastAsia="en-US" w:bidi="ar-SA"/>
              </w:rPr>
            </w:pPr>
            <w:r>
              <w:rPr>
                <w:rFonts w:eastAsia="Calibri" w:cs="Times New Roman" w:eastAsiaTheme="minorHAnsi"/>
                <w:b w:val="false"/>
                <w:bCs w:val="false"/>
                <w:color w:val="auto"/>
                <w:kern w:val="0"/>
                <w:sz w:val="22"/>
                <w:szCs w:val="22"/>
                <w:lang w:val="uk-UA" w:eastAsia="en-US" w:bidi="ar-SA"/>
              </w:rPr>
              <w:t>Кількість</w:t>
            </w:r>
          </w:p>
        </w:tc>
        <w:tc>
          <w:tcPr>
            <w:tcW w:w="1595" w:type="dxa"/>
            <w:tcBorders>
              <w:top w:val="single" w:sz="4" w:space="0" w:color="00000A"/>
              <w:left w:val="single" w:sz="4" w:space="0" w:color="00000A"/>
              <w:bottom w:val="single" w:sz="4" w:space="0" w:color="00000A"/>
            </w:tcBorders>
          </w:tcPr>
          <w:p>
            <w:pPr>
              <w:pStyle w:val="15"/>
              <w:widowControl w:val="false"/>
              <w:spacing w:before="20" w:after="20"/>
              <w:ind w:hanging="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t>Ціна за одиницю, грн., без ПДВ*</w:t>
            </w:r>
          </w:p>
        </w:tc>
        <w:tc>
          <w:tcPr>
            <w:tcW w:w="1528" w:type="dxa"/>
            <w:tcBorders>
              <w:top w:val="single" w:sz="4" w:space="0" w:color="00000A"/>
              <w:left w:val="single" w:sz="4" w:space="0" w:color="00000A"/>
              <w:bottom w:val="single" w:sz="4" w:space="0" w:color="00000A"/>
              <w:right w:val="single" w:sz="4" w:space="0" w:color="00000A"/>
            </w:tcBorders>
          </w:tcPr>
          <w:p>
            <w:pPr>
              <w:pStyle w:val="15"/>
              <w:widowControl w:val="false"/>
              <w:spacing w:before="20" w:after="20"/>
              <w:ind w:hanging="0"/>
              <w:jc w:val="center"/>
              <w:rPr>
                <w:b/>
                <w:b/>
                <w:bCs/>
                <w:sz w:val="22"/>
                <w:szCs w:val="22"/>
              </w:rPr>
            </w:pPr>
            <w:r>
              <w:rPr>
                <w:rFonts w:cs="Times New Roman" w:ascii="Times New Roman" w:hAnsi="Times New Roman"/>
                <w:b/>
                <w:bCs/>
                <w:sz w:val="22"/>
                <w:szCs w:val="22"/>
                <w:lang w:eastAsia="en-US"/>
              </w:rPr>
              <w:t xml:space="preserve">Загальна вартість, грн., </w:t>
            </w:r>
            <w:r>
              <w:rPr>
                <w:rFonts w:cs="Times New Roman" w:ascii="Times New Roman" w:hAnsi="Times New Roman"/>
                <w:b/>
                <w:bCs/>
                <w:sz w:val="22"/>
                <w:szCs w:val="22"/>
                <w:lang w:val="ru-RU" w:eastAsia="en-US"/>
              </w:rPr>
              <w:t>без</w:t>
            </w:r>
            <w:r>
              <w:rPr>
                <w:rFonts w:cs="Times New Roman" w:ascii="Times New Roman" w:hAnsi="Times New Roman"/>
                <w:b/>
                <w:bCs/>
                <w:sz w:val="22"/>
                <w:szCs w:val="22"/>
                <w:lang w:eastAsia="en-US"/>
              </w:rPr>
              <w:t xml:space="preserve"> ПДВ*</w:t>
            </w:r>
          </w:p>
          <w:p>
            <w:pPr>
              <w:pStyle w:val="15"/>
              <w:widowControl w:val="false"/>
              <w:spacing w:before="20" w:after="20"/>
              <w:jc w:val="center"/>
              <w:rPr>
                <w:rFonts w:ascii="Times New Roman" w:hAnsi="Times New Roman" w:cs="Times New Roman"/>
                <w:b/>
                <w:b/>
                <w:bCs/>
                <w:sz w:val="22"/>
                <w:szCs w:val="22"/>
                <w:lang w:eastAsia="en-US"/>
              </w:rPr>
            </w:pPr>
            <w:r>
              <w:rPr>
                <w:rFonts w:cs="Times New Roman" w:ascii="Times New Roman" w:hAnsi="Times New Roman"/>
                <w:b/>
                <w:bCs/>
                <w:sz w:val="22"/>
                <w:szCs w:val="22"/>
                <w:lang w:eastAsia="en-US"/>
              </w:rPr>
            </w:r>
          </w:p>
        </w:tc>
      </w:tr>
      <w:tr>
        <w:trPr>
          <w:trHeight w:val="512" w:hRule="atLeast"/>
        </w:trPr>
        <w:tc>
          <w:tcPr>
            <w:tcW w:w="584" w:type="dxa"/>
            <w:tcBorders>
              <w:top w:val="single" w:sz="4" w:space="0" w:color="00000A"/>
              <w:left w:val="single" w:sz="4" w:space="0" w:color="00000A"/>
              <w:bottom w:val="single" w:sz="4" w:space="0" w:color="00000A"/>
              <w:right w:val="single" w:sz="4" w:space="0" w:color="00000A"/>
            </w:tcBorders>
          </w:tcPr>
          <w:p>
            <w:pPr>
              <w:pStyle w:val="NormalWeb"/>
              <w:widowControl w:val="false"/>
              <w:spacing w:lineRule="auto" w:line="240" w:before="0" w:after="0"/>
              <w:jc w:val="both"/>
              <w:rPr>
                <w:sz w:val="22"/>
                <w:szCs w:val="22"/>
              </w:rPr>
            </w:pPr>
            <w:r>
              <w:rPr>
                <w:rFonts w:cs="Times New Roman" w:ascii="Times New Roman" w:hAnsi="Times New Roman"/>
                <w:b/>
                <w:sz w:val="22"/>
                <w:szCs w:val="22"/>
                <w:lang w:val="uk-UA"/>
              </w:rPr>
              <w:t xml:space="preserve"> </w:t>
            </w:r>
            <w:r>
              <w:rPr>
                <w:rFonts w:cs="Times New Roman" w:ascii="Times New Roman" w:hAnsi="Times New Roman"/>
                <w:b/>
                <w:sz w:val="22"/>
                <w:szCs w:val="22"/>
                <w:lang w:val="uk-UA"/>
              </w:rPr>
              <w:t>1...</w:t>
            </w:r>
          </w:p>
        </w:tc>
        <w:tc>
          <w:tcPr>
            <w:tcW w:w="5251" w:type="dxa"/>
            <w:tcBorders>
              <w:top w:val="single" w:sz="4" w:space="0" w:color="00000A"/>
              <w:left w:val="single" w:sz="4" w:space="0" w:color="00000A"/>
              <w:bottom w:val="single" w:sz="4" w:space="0" w:color="00000A"/>
              <w:right w:val="single" w:sz="4" w:space="0" w:color="00000A"/>
            </w:tcBorders>
          </w:tcPr>
          <w:p>
            <w:pPr>
              <w:pStyle w:val="Normal"/>
              <w:widowControl w:val="false"/>
              <w:snapToGrid w:val="false"/>
              <w:spacing w:lineRule="auto" w:line="240" w:before="20" w:after="20"/>
              <w:jc w:val="both"/>
              <w:rPr>
                <w:rFonts w:ascii="Times New Roman" w:hAnsi="Times New Roman" w:cs="Times New Roman"/>
                <w:b/>
                <w:b/>
                <w:i/>
                <w:i/>
                <w:sz w:val="22"/>
                <w:szCs w:val="22"/>
                <w:lang w:val="en-US"/>
              </w:rPr>
            </w:pPr>
            <w:r>
              <w:rPr>
                <w:rFonts w:cs="Times New Roman"/>
                <w:b/>
                <w:i/>
                <w:sz w:val="22"/>
                <w:szCs w:val="22"/>
                <w:lang w:val="en-US"/>
              </w:rPr>
            </w:r>
          </w:p>
        </w:tc>
        <w:tc>
          <w:tcPr>
            <w:tcW w:w="1078" w:type="dxa"/>
            <w:tcBorders>
              <w:top w:val="single" w:sz="4" w:space="0" w:color="00000A"/>
              <w:left w:val="single" w:sz="4" w:space="0" w:color="00000A"/>
              <w:bottom w:val="single" w:sz="4" w:space="0" w:color="00000A"/>
            </w:tcBorders>
          </w:tcPr>
          <w:p>
            <w:pPr>
              <w:pStyle w:val="Normal"/>
              <w:widowControl w:val="false"/>
              <w:snapToGrid w:val="false"/>
              <w:spacing w:lineRule="auto" w:line="240" w:before="20" w:after="20"/>
              <w:jc w:val="both"/>
              <w:rPr>
                <w:rFonts w:ascii="Times New Roman" w:hAnsi="Times New Roman" w:cs="Times New Roman"/>
                <w:b/>
                <w:b/>
                <w:i/>
                <w:i/>
                <w:sz w:val="22"/>
                <w:szCs w:val="22"/>
                <w:lang w:val="en-US"/>
              </w:rPr>
            </w:pPr>
            <w:r>
              <w:rPr>
                <w:rFonts w:cs="Times New Roman"/>
                <w:b/>
                <w:i/>
                <w:sz w:val="22"/>
                <w:szCs w:val="22"/>
                <w:lang w:val="en-US"/>
              </w:rPr>
            </w:r>
          </w:p>
        </w:tc>
        <w:tc>
          <w:tcPr>
            <w:tcW w:w="1595" w:type="dxa"/>
            <w:tcBorders>
              <w:top w:val="single" w:sz="4" w:space="0" w:color="00000A"/>
              <w:left w:val="single" w:sz="4" w:space="0" w:color="00000A"/>
              <w:bottom w:val="single" w:sz="4" w:space="0" w:color="00000A"/>
            </w:tcBorders>
          </w:tcPr>
          <w:p>
            <w:pPr>
              <w:pStyle w:val="Normal"/>
              <w:widowControl w:val="false"/>
              <w:snapToGrid w:val="false"/>
              <w:spacing w:lineRule="auto" w:line="240" w:before="20" w:after="20"/>
              <w:jc w:val="both"/>
              <w:rPr>
                <w:rFonts w:ascii="Times New Roman" w:hAnsi="Times New Roman" w:cs="Times New Roman"/>
                <w:b/>
                <w:b/>
                <w:i/>
                <w:i/>
                <w:sz w:val="22"/>
                <w:szCs w:val="22"/>
                <w:lang w:val="en-US"/>
              </w:rPr>
            </w:pPr>
            <w:r>
              <w:rPr>
                <w:rFonts w:cs="Times New Roman"/>
                <w:b/>
                <w:i/>
                <w:sz w:val="22"/>
                <w:szCs w:val="22"/>
                <w:lang w:val="en-US"/>
              </w:rPr>
            </w:r>
          </w:p>
        </w:tc>
        <w:tc>
          <w:tcPr>
            <w:tcW w:w="1528" w:type="dxa"/>
            <w:tcBorders>
              <w:top w:val="single" w:sz="4" w:space="0" w:color="00000A"/>
              <w:left w:val="single" w:sz="4" w:space="0" w:color="00000A"/>
              <w:bottom w:val="single" w:sz="4" w:space="0" w:color="00000A"/>
              <w:right w:val="single" w:sz="4" w:space="0" w:color="00000A"/>
            </w:tcBorders>
          </w:tcPr>
          <w:p>
            <w:pPr>
              <w:pStyle w:val="Normal"/>
              <w:widowControl w:val="false"/>
              <w:snapToGrid w:val="false"/>
              <w:spacing w:lineRule="auto" w:line="240" w:before="20" w:after="20"/>
              <w:jc w:val="both"/>
              <w:rPr>
                <w:rFonts w:ascii="Times New Roman" w:hAnsi="Times New Roman" w:cs="Times New Roman"/>
                <w:b/>
                <w:b/>
                <w:i/>
                <w:i/>
                <w:sz w:val="22"/>
                <w:szCs w:val="22"/>
                <w:lang w:val="en-US"/>
              </w:rPr>
            </w:pPr>
            <w:r>
              <w:rPr>
                <w:rFonts w:cs="Times New Roman"/>
                <w:b/>
                <w:i/>
                <w:sz w:val="22"/>
                <w:szCs w:val="22"/>
                <w:lang w:val="en-US"/>
              </w:rPr>
            </w:r>
          </w:p>
        </w:tc>
      </w:tr>
      <w:tr>
        <w:trPr>
          <w:trHeight w:val="315" w:hRule="atLeast"/>
        </w:trPr>
        <w:tc>
          <w:tcPr>
            <w:tcW w:w="10036" w:type="dxa"/>
            <w:gridSpan w:val="5"/>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40" w:before="0" w:after="200"/>
              <w:rPr>
                <w:rFonts w:ascii="Times New Roman" w:hAnsi="Times New Roman" w:cs="Times New Roman"/>
                <w:b w:val="false"/>
                <w:b w:val="false"/>
                <w:bCs w:val="false"/>
                <w:color w:val="000000"/>
                <w:sz w:val="22"/>
                <w:szCs w:val="22"/>
                <w:lang w:eastAsia="en-US"/>
              </w:rPr>
            </w:pPr>
            <w:r>
              <w:rPr>
                <w:rFonts w:cs="Times New Roman"/>
                <w:b w:val="false"/>
                <w:bCs w:val="false"/>
                <w:color w:val="000000"/>
                <w:sz w:val="22"/>
                <w:szCs w:val="22"/>
                <w:lang w:eastAsia="en-US"/>
              </w:rPr>
              <w:t>Всього, грн. без ПДВ*(____________________ гривень ___ копійок)</w:t>
            </w:r>
          </w:p>
        </w:tc>
      </w:tr>
      <w:tr>
        <w:trPr>
          <w:trHeight w:val="315" w:hRule="atLeast"/>
        </w:trPr>
        <w:tc>
          <w:tcPr>
            <w:tcW w:w="10036" w:type="dxa"/>
            <w:gridSpan w:val="5"/>
            <w:tcBorders>
              <w:top w:val="single" w:sz="4" w:space="0" w:color="00000A"/>
              <w:left w:val="single" w:sz="4" w:space="0" w:color="00000A"/>
              <w:bottom w:val="single" w:sz="4" w:space="0" w:color="00000A"/>
              <w:right w:val="single" w:sz="4" w:space="0" w:color="00000A"/>
            </w:tcBorders>
          </w:tcPr>
          <w:p>
            <w:pPr>
              <w:pStyle w:val="15"/>
              <w:widowControl w:val="false"/>
              <w:spacing w:lineRule="auto" w:line="240" w:before="20" w:after="20"/>
              <w:ind w:hanging="0"/>
              <w:rPr>
                <w:b w:val="false"/>
                <w:b w:val="false"/>
                <w:bCs w:val="false"/>
                <w:sz w:val="22"/>
                <w:szCs w:val="22"/>
              </w:rPr>
            </w:pPr>
            <w:r>
              <w:rPr>
                <w:rFonts w:cs="Times New Roman" w:ascii="Times New Roman" w:hAnsi="Times New Roman"/>
                <w:b w:val="false"/>
                <w:bCs w:val="false"/>
                <w:color w:val="000000"/>
                <w:sz w:val="22"/>
                <w:szCs w:val="22"/>
                <w:lang w:val="ru-RU" w:eastAsia="en-US"/>
              </w:rPr>
              <w:t>ПДВ* 20%</w:t>
            </w:r>
            <w:r>
              <w:rPr>
                <w:rFonts w:cs="Times New Roman" w:ascii="Times New Roman" w:hAnsi="Times New Roman"/>
                <w:b w:val="false"/>
                <w:bCs w:val="false"/>
                <w:color w:val="000000"/>
                <w:sz w:val="22"/>
                <w:szCs w:val="22"/>
                <w:shd w:fill="auto" w:val="clear"/>
                <w:lang w:val="uk-UA" w:eastAsia="en-US"/>
              </w:rPr>
              <w:t>(____________________ гривень ___ копійок)</w:t>
            </w:r>
          </w:p>
        </w:tc>
      </w:tr>
      <w:tr>
        <w:trPr>
          <w:trHeight w:val="315" w:hRule="atLeast"/>
        </w:trPr>
        <w:tc>
          <w:tcPr>
            <w:tcW w:w="10036" w:type="dxa"/>
            <w:gridSpan w:val="5"/>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40" w:before="0" w:after="200"/>
              <w:rPr>
                <w:rFonts w:ascii="Times New Roman" w:hAnsi="Times New Roman" w:cs="Times New Roman"/>
                <w:b w:val="false"/>
                <w:b w:val="false"/>
                <w:bCs w:val="false"/>
                <w:color w:val="000000"/>
                <w:sz w:val="22"/>
                <w:szCs w:val="22"/>
                <w:lang w:eastAsia="en-US"/>
              </w:rPr>
            </w:pPr>
            <w:r>
              <w:rPr>
                <w:rFonts w:cs="Times New Roman"/>
                <w:b w:val="false"/>
                <w:bCs w:val="false"/>
                <w:color w:val="000000"/>
                <w:sz w:val="22"/>
                <w:szCs w:val="22"/>
                <w:lang w:eastAsia="en-US"/>
              </w:rPr>
              <w:t>Разом з ПДВ* 20%(____________________ гривень ___ копійок)</w:t>
            </w:r>
          </w:p>
        </w:tc>
      </w:tr>
    </w:tbl>
    <w:p>
      <w:pPr>
        <w:pStyle w:val="Normal"/>
        <w:rPr>
          <w:rFonts w:ascii="Times New Roman" w:hAnsi="Times New Roman" w:cs="Times New Roman"/>
          <w:color w:val="121212"/>
          <w:sz w:val="22"/>
          <w:szCs w:val="22"/>
        </w:rPr>
      </w:pPr>
      <w:r>
        <w:rPr>
          <w:rFonts w:cs="Times New Roman"/>
          <w:color w:val="121212"/>
          <w:sz w:val="22"/>
          <w:szCs w:val="22"/>
        </w:rPr>
      </w:r>
    </w:p>
    <w:p>
      <w:pPr>
        <w:pStyle w:val="BodyTextIndent2"/>
        <w:tabs>
          <w:tab w:val="clear" w:pos="720"/>
          <w:tab w:val="left" w:pos="540" w:leader="none"/>
        </w:tabs>
        <w:spacing w:lineRule="atLeast" w:line="220" w:before="60" w:after="60"/>
        <w:ind w:left="0" w:right="-23" w:firstLine="360"/>
        <w:rPr/>
      </w:pPr>
      <w:r>
        <w:rPr>
          <w:rFonts w:cs="Times New Roman" w:ascii="Times New Roman" w:hAnsi="Times New Roman"/>
          <w:color w:val="000000"/>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15"/>
        <w:tabs>
          <w:tab w:val="clear" w:pos="720"/>
          <w:tab w:val="left" w:pos="540" w:leader="none"/>
        </w:tabs>
        <w:spacing w:lineRule="atLeast" w:line="220" w:before="60" w:after="60"/>
        <w:ind w:right="-23" w:firstLine="360"/>
        <w:rPr/>
      </w:pPr>
      <w:r>
        <w:rPr>
          <w:rFonts w:cs="Times New Roman" w:ascii="Times New Roman" w:hAnsi="Times New Roman"/>
          <w:color w:val="000000"/>
          <w:sz w:val="22"/>
          <w:szCs w:val="22"/>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BodyTextIndent2"/>
        <w:tabs>
          <w:tab w:val="clear" w:pos="720"/>
          <w:tab w:val="left" w:pos="540" w:leader="none"/>
        </w:tabs>
        <w:spacing w:lineRule="atLeast" w:line="220" w:before="60" w:after="60"/>
        <w:ind w:left="0" w:right="-23" w:firstLine="284"/>
        <w:rPr/>
      </w:pPr>
      <w:r>
        <w:rPr>
          <w:rFonts w:cs="Times New Roman" w:ascii="Times New Roman" w:hAnsi="Times New Roman"/>
          <w:color w:val="000000"/>
          <w:sz w:val="22"/>
          <w:szCs w:val="22"/>
        </w:rPr>
        <w:t xml:space="preserve">3. </w:t>
      </w:r>
      <w:r>
        <w:rPr>
          <w:rFonts w:cs="Times New Roman" w:ascii="Times New Roman" w:hAnsi="Times New Roman"/>
          <w:color w:val="000000"/>
          <w:sz w:val="22"/>
          <w:szCs w:val="22"/>
          <w:lang w:val="ru-RU"/>
        </w:rPr>
        <w:t>Ми погоджуємося дотримуватися умов цієї пропозиції протягом</w:t>
      </w:r>
      <w:r>
        <w:rPr>
          <w:rFonts w:cs="Times New Roman" w:ascii="Times New Roman" w:hAnsi="Times New Roman"/>
          <w:b/>
          <w:bCs/>
          <w:color w:val="000000"/>
          <w:sz w:val="22"/>
          <w:szCs w:val="22"/>
          <w:lang w:val="ru-RU"/>
        </w:rPr>
        <w:t xml:space="preserve"> </w:t>
      </w:r>
      <w:r>
        <w:rPr>
          <w:rFonts w:cs="Times New Roman" w:ascii="Times New Roman" w:hAnsi="Times New Roman"/>
          <w:b/>
          <w:bCs/>
          <w:color w:val="000000"/>
          <w:sz w:val="22"/>
          <w:szCs w:val="22"/>
        </w:rPr>
        <w:t>9</w:t>
      </w:r>
      <w:r>
        <w:rPr>
          <w:rFonts w:cs="Times New Roman" w:ascii="Times New Roman" w:hAnsi="Times New Roman"/>
          <w:b/>
          <w:bCs/>
          <w:color w:val="000000"/>
          <w:sz w:val="22"/>
          <w:szCs w:val="22"/>
          <w:lang w:val="ru-RU"/>
        </w:rPr>
        <w:t>0</w:t>
      </w:r>
      <w:r>
        <w:rPr>
          <w:rFonts w:cs="Times New Roman" w:ascii="Times New Roman" w:hAnsi="Times New Roman"/>
          <w:color w:val="000000"/>
          <w:sz w:val="22"/>
          <w:szCs w:val="22"/>
          <w:lang w:val="ru-RU"/>
        </w:rPr>
        <w:t xml:space="preserve"> днів із дати кінцевого строку подання тендерних пропозицій.</w:t>
      </w:r>
    </w:p>
    <w:p>
      <w:pPr>
        <w:pStyle w:val="15"/>
        <w:tabs>
          <w:tab w:val="clear" w:pos="720"/>
          <w:tab w:val="left" w:pos="540" w:leader="none"/>
        </w:tabs>
        <w:spacing w:lineRule="atLeast" w:line="220" w:before="60" w:after="60"/>
        <w:ind w:right="-23" w:firstLine="360"/>
        <w:rPr/>
      </w:pPr>
      <w:r>
        <w:rPr>
          <w:rFonts w:cs="Times New Roman" w:ascii="Times New Roman" w:hAnsi="Times New Roman"/>
          <w:color w:val="000000"/>
          <w:sz w:val="22"/>
          <w:szCs w:val="22"/>
        </w:rPr>
        <w:t xml:space="preserve">4. Ми розуміємо та погоджуємося, що Ви можете відмінити процедуру закупівлі у разі наявності обставин для цього згідно із Законом. </w:t>
      </w:r>
    </w:p>
    <w:p>
      <w:pPr>
        <w:pStyle w:val="15"/>
        <w:tabs>
          <w:tab w:val="clear" w:pos="720"/>
          <w:tab w:val="left" w:pos="540" w:leader="none"/>
        </w:tabs>
        <w:spacing w:lineRule="atLeast" w:line="220" w:before="60" w:after="60"/>
        <w:ind w:right="-23" w:firstLine="360"/>
        <w:rPr/>
      </w:pPr>
      <w:r>
        <w:rPr>
          <w:rFonts w:cs="Times New Roman" w:ascii="Times New Roman" w:hAnsi="Times New Roman"/>
          <w:color w:val="000000"/>
          <w:sz w:val="22"/>
          <w:szCs w:val="22"/>
        </w:rPr>
        <w:t xml:space="preserve">5. Якщо нас буде визначено переможцем тендеру, ми беремо на себе зобов’язання підписати договір відповідно до додатку 3 до тендерної документації із замовником не пізніше ніж через </w:t>
      </w:r>
      <w:r>
        <w:rPr>
          <w:rFonts w:cs="Times New Roman" w:ascii="Times New Roman" w:hAnsi="Times New Roman"/>
          <w:b/>
          <w:color w:val="000000"/>
          <w:sz w:val="22"/>
          <w:szCs w:val="22"/>
        </w:rPr>
        <w:t>15</w:t>
      </w:r>
      <w:r>
        <w:rPr>
          <w:rFonts w:cs="Times New Roman" w:ascii="Times New Roman" w:hAnsi="Times New Roman"/>
          <w:color w:val="000000"/>
          <w:sz w:val="22"/>
          <w:szCs w:val="22"/>
        </w:rPr>
        <w:t xml:space="preserve"> днів (60 днів - у випадку прийняття Замовником рішення щодо обгрунтованої необхідності укладення договору в цей строк) з дня прийняття рішення про намір укласти договір про закупівлю та не раніше ніж через </w:t>
      </w:r>
      <w:r>
        <w:rPr>
          <w:rFonts w:cs="Times New Roman" w:ascii="Times New Roman" w:hAnsi="Times New Roman"/>
          <w:b/>
          <w:color w:val="000000"/>
          <w:sz w:val="22"/>
          <w:szCs w:val="22"/>
        </w:rPr>
        <w:t>5</w:t>
      </w:r>
      <w:r>
        <w:rPr>
          <w:rFonts w:cs="Times New Roman" w:ascii="Times New Roman" w:hAnsi="Times New Roman"/>
          <w:color w:val="000000"/>
          <w:sz w:val="22"/>
          <w:szCs w:val="22"/>
        </w:rPr>
        <w:t xml:space="preserve"> днів з дати оприлюднення </w:t>
      </w:r>
      <w:r>
        <w:rPr>
          <w:rFonts w:cs="Times New Roman" w:ascii="Times New Roman" w:hAnsi="Times New Roman"/>
          <w:sz w:val="22"/>
          <w:szCs w:val="22"/>
        </w:rPr>
        <w:t xml:space="preserve">в електронній системі закупівель </w:t>
      </w:r>
      <w:r>
        <w:rPr>
          <w:rFonts w:cs="Times New Roman" w:ascii="Times New Roman" w:hAnsi="Times New Roman"/>
          <w:color w:val="000000"/>
          <w:sz w:val="22"/>
          <w:szCs w:val="22"/>
        </w:rPr>
        <w:t xml:space="preserve">повідомлення про намір укласти договір про закупівлю. </w:t>
      </w:r>
    </w:p>
    <w:p>
      <w:pPr>
        <w:pStyle w:val="15"/>
        <w:tabs>
          <w:tab w:val="clear" w:pos="720"/>
          <w:tab w:val="left" w:pos="540" w:leader="none"/>
        </w:tabs>
        <w:spacing w:lineRule="atLeast" w:line="220" w:before="60" w:after="60"/>
        <w:ind w:right="-23" w:firstLine="360"/>
        <w:rPr/>
      </w:pPr>
      <w:r>
        <w:rPr>
          <w:rFonts w:cs="Times New Roman" w:ascii="Times New Roman" w:hAnsi="Times New Roman"/>
          <w:color w:val="000000"/>
          <w:sz w:val="22"/>
          <w:szCs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pStyle w:val="15"/>
        <w:ind w:firstLine="426"/>
        <w:rPr/>
      </w:pPr>
      <w:r>
        <w:rPr>
          <w:rFonts w:cs="Times New Roman" w:ascii="Times New Roman" w:hAnsi="Times New Roman"/>
          <w:color w:val="000000"/>
          <w:sz w:val="22"/>
          <w:szCs w:val="22"/>
        </w:rPr>
        <w:t>7. Поданням цієї тендерної пропозиції ми підтверджуємо:</w:t>
      </w:r>
    </w:p>
    <w:p>
      <w:pPr>
        <w:pStyle w:val="15"/>
        <w:ind w:firstLine="511"/>
        <w:rPr/>
      </w:pPr>
      <w:r>
        <w:rPr>
          <w:rFonts w:cs="Times New Roman" w:ascii="Times New Roman" w:hAnsi="Times New Roman"/>
          <w:color w:val="000000"/>
          <w:sz w:val="22"/>
          <w:szCs w:val="22"/>
        </w:rPr>
        <w:t>- свою згоду з усіма умовами тендерної документації, в тому числі що зазначені в проекті договору, та зобов'язуємось укласти договір у строк, встановлений Законом;</w:t>
      </w:r>
    </w:p>
    <w:p>
      <w:pPr>
        <w:pStyle w:val="15"/>
        <w:ind w:firstLine="511"/>
        <w:rPr/>
      </w:pPr>
      <w:r>
        <w:rPr>
          <w:rFonts w:cs="Times New Roman" w:ascii="Times New Roman" w:hAnsi="Times New Roman"/>
          <w:color w:val="000000"/>
          <w:sz w:val="22"/>
          <w:szCs w:val="22"/>
        </w:rPr>
        <w:t>- відсутність підстав у Замовника щодо відмови в участі у процедурі закупівлі та/або відхиленні нашої тендерної пропозиції, зазначених у статті 17 Закону.</w:t>
      </w:r>
    </w:p>
    <w:p>
      <w:pPr>
        <w:pStyle w:val="15"/>
        <w:ind w:firstLine="511"/>
        <w:rPr/>
      </w:pPr>
      <w:r>
        <w:rPr>
          <w:rFonts w:cs="Times New Roman" w:ascii="Times New Roman" w:hAnsi="Times New Roman"/>
          <w:color w:val="000000"/>
          <w:sz w:val="22"/>
          <w:szCs w:val="22"/>
        </w:rPr>
        <w:t>8. Ми несемо відповідальність за достовірність наданої інформації в нашій тендерній пропозиції.</w:t>
      </w:r>
    </w:p>
    <w:p>
      <w:pPr>
        <w:pStyle w:val="15"/>
        <w:numPr>
          <w:ilvl w:val="0"/>
          <w:numId w:val="0"/>
        </w:numPr>
        <w:tabs>
          <w:tab w:val="clear" w:pos="720"/>
          <w:tab w:val="left" w:pos="0" w:leader="none"/>
        </w:tabs>
        <w:ind w:left="0" w:firstLine="567"/>
        <w:outlineLvl w:val="2"/>
        <w:rPr/>
      </w:pPr>
      <w:r>
        <w:rPr/>
      </w:r>
    </w:p>
    <w:p>
      <w:pPr>
        <w:pStyle w:val="15"/>
        <w:ind w:firstLine="708"/>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5"/>
        <w:ind w:left="360" w:firstLine="348"/>
        <w:rPr/>
      </w:pPr>
      <w:r>
        <w:rPr>
          <w:rFonts w:cs="Times New Roman" w:ascii="Times New Roman" w:hAnsi="Times New Roman"/>
          <w:i/>
          <w:iCs/>
          <w:sz w:val="22"/>
          <w:szCs w:val="22"/>
        </w:rPr>
        <w:t>Посада, прізвище, ініціали, підпис уповноваженої особи Учасника,</w:t>
      </w:r>
    </w:p>
    <w:p>
      <w:pPr>
        <w:pStyle w:val="15"/>
        <w:ind w:left="360" w:firstLine="348"/>
        <w:rPr/>
      </w:pPr>
      <w:r>
        <w:rPr>
          <w:rFonts w:cs="Times New Roman" w:ascii="Times New Roman" w:hAnsi="Times New Roman"/>
          <w:i/>
          <w:iCs/>
          <w:sz w:val="22"/>
          <w:szCs w:val="22"/>
        </w:rPr>
        <w:t>завірені печаткою (у разі її використання) ____________________________</w:t>
      </w:r>
    </w:p>
    <w:p>
      <w:pPr>
        <w:pStyle w:val="15"/>
        <w:ind w:left="360" w:firstLine="348"/>
        <w:rPr>
          <w:rFonts w:ascii="Times New Roman" w:hAnsi="Times New Roman" w:cs="Times New Roman"/>
          <w:i/>
          <w:i/>
          <w:iCs/>
          <w:sz w:val="22"/>
          <w:szCs w:val="22"/>
        </w:rPr>
      </w:pPr>
      <w:r>
        <w:rPr>
          <w:rFonts w:cs="Times New Roman" w:ascii="Times New Roman" w:hAnsi="Times New Roman"/>
          <w:i/>
          <w:iCs/>
          <w:sz w:val="22"/>
          <w:szCs w:val="22"/>
        </w:rPr>
      </w:r>
    </w:p>
    <w:p>
      <w:pPr>
        <w:pStyle w:val="15"/>
        <w:rPr/>
      </w:pPr>
      <w:r>
        <w:rPr>
          <w:rFonts w:cs="Times New Roman" w:ascii="Times New Roman" w:hAnsi="Times New Roman"/>
          <w:b/>
          <w:i/>
          <w:iCs/>
          <w:sz w:val="22"/>
          <w:szCs w:val="22"/>
        </w:rPr>
        <w:t>*</w:t>
      </w:r>
      <w:r>
        <w:rPr>
          <w:rFonts w:cs="Times New Roman" w:ascii="Times New Roman" w:hAnsi="Times New Roman"/>
          <w:i/>
          <w:iCs/>
          <w:sz w:val="22"/>
          <w:szCs w:val="22"/>
        </w:rPr>
        <w:t xml:space="preserve">У разі надання цінових пропозицій Учасником – не платником </w:t>
      </w:r>
      <w:r>
        <w:rPr>
          <w:rFonts w:cs="Times New Roman" w:ascii="Times New Roman" w:hAnsi="Times New Roman"/>
          <w:i/>
          <w:iCs/>
          <w:sz w:val="22"/>
          <w:szCs w:val="22"/>
          <w:u w:val="single"/>
        </w:rPr>
        <w:t>ПДВ</w:t>
      </w:r>
      <w:r>
        <w:rPr>
          <w:rFonts w:cs="Times New Roman" w:ascii="Times New Roman" w:hAnsi="Times New Roman"/>
          <w:i/>
          <w:iCs/>
          <w:sz w:val="22"/>
          <w:szCs w:val="22"/>
        </w:rPr>
        <w:t xml:space="preserve"> (або платником ПДВ за нульовою чи іншою ставкою), або якщо предмет закупівлі не обкладається ПДВ, такі пропозиції надаються без врахування ПДВ (або за тією ставкою ПДВ, яку сплачує Учасник) та у відповідних графах зазначається ціна без ПДВ (або зазначається ціна з відповідним ПДВ), про що Учасником робиться відповідна позначка</w:t>
      </w:r>
      <w:r>
        <w:rPr>
          <w:rFonts w:cs="Times New Roman" w:ascii="Times New Roman" w:hAnsi="Times New Roman"/>
          <w:iCs/>
          <w:sz w:val="22"/>
          <w:szCs w:val="22"/>
        </w:rPr>
        <w:t>.</w:t>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left="6804" w:right="-25" w:firstLine="737"/>
        <w:jc w:val="right"/>
        <w:rPr/>
      </w:pPr>
      <w:r>
        <w:rPr/>
      </w:r>
    </w:p>
    <w:p>
      <w:pPr>
        <w:pStyle w:val="15"/>
        <w:ind w:right="-25" w:firstLine="6663"/>
        <w:jc w:val="right"/>
        <w:rPr/>
      </w:pPr>
      <w:r>
        <w:rPr>
          <w:rFonts w:cs="Times New Roman" w:ascii="Times New Roman" w:hAnsi="Times New Roman"/>
          <w:b/>
          <w:sz w:val="22"/>
          <w:szCs w:val="22"/>
        </w:rPr>
        <w:t>ДОДАТОК 2</w:t>
      </w:r>
    </w:p>
    <w:p>
      <w:pPr>
        <w:pStyle w:val="15"/>
        <w:ind w:left="6804" w:right="-25" w:firstLine="737"/>
        <w:jc w:val="right"/>
        <w:rPr/>
      </w:pPr>
      <w:r>
        <w:rPr>
          <w:rFonts w:cs="Times New Roman" w:ascii="Times New Roman" w:hAnsi="Times New Roman"/>
          <w:b/>
          <w:sz w:val="22"/>
          <w:szCs w:val="22"/>
        </w:rPr>
        <w:t>тендерної документації</w:t>
      </w:r>
    </w:p>
    <w:p>
      <w:pPr>
        <w:pStyle w:val="15"/>
        <w:ind w:right="-25" w:firstLine="6663"/>
        <w:jc w:val="right"/>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15"/>
        <w:ind w:left="900" w:firstLine="737"/>
        <w:jc w:val="center"/>
        <w:rPr/>
      </w:pPr>
      <w:r>
        <w:rPr>
          <w:rFonts w:cs="Times New Roman" w:ascii="Times New Roman" w:hAnsi="Times New Roman"/>
          <w:b/>
          <w:sz w:val="22"/>
          <w:szCs w:val="22"/>
        </w:rPr>
        <w:t>Перелік документів, які вимагаються для підтвердження відповідності пропозиції Учасника кваліфікаційним критеріям та іншим вимогам Замовника</w:t>
      </w:r>
    </w:p>
    <w:p>
      <w:pPr>
        <w:pStyle w:val="15"/>
        <w:ind w:left="900" w:firstLine="737"/>
        <w:jc w:val="center"/>
        <w:rPr>
          <w:rFonts w:ascii="Times New Roman" w:hAnsi="Times New Roman" w:cs="Times New Roman"/>
          <w:b/>
          <w:b/>
          <w:sz w:val="22"/>
          <w:szCs w:val="22"/>
        </w:rPr>
      </w:pPr>
      <w:r>
        <w:rPr>
          <w:rFonts w:cs="Times New Roman" w:ascii="Times New Roman" w:hAnsi="Times New Roman"/>
          <w:b/>
          <w:sz w:val="22"/>
          <w:szCs w:val="22"/>
        </w:rPr>
      </w:r>
    </w:p>
    <w:p>
      <w:pPr>
        <w:pStyle w:val="15"/>
        <w:jc w:val="center"/>
        <w:rPr/>
      </w:pPr>
      <w:r>
        <w:rPr>
          <w:rFonts w:cs="Times New Roman" w:ascii="Times New Roman" w:hAnsi="Times New Roman"/>
          <w:b/>
          <w:sz w:val="22"/>
          <w:szCs w:val="22"/>
        </w:rPr>
        <w:t>1. Перелік документів та інформації для підтвердження відповідності Учасника кваліфікаційним критеріям, визначеним у ст.16 Закону України «Про публічні закупівлі»</w:t>
      </w:r>
    </w:p>
    <w:p>
      <w:pPr>
        <w:pStyle w:val="15"/>
        <w:jc w:val="center"/>
        <w:rPr>
          <w:rFonts w:ascii="Times New Roman" w:hAnsi="Times New Roman" w:cs="Times New Roman"/>
          <w:b/>
          <w:b/>
          <w:sz w:val="22"/>
          <w:szCs w:val="22"/>
        </w:rPr>
      </w:pPr>
      <w:r>
        <w:rPr>
          <w:rFonts w:cs="Times New Roman" w:ascii="Times New Roman" w:hAnsi="Times New Roman"/>
          <w:b/>
          <w:sz w:val="22"/>
          <w:szCs w:val="22"/>
        </w:rPr>
      </w:r>
    </w:p>
    <w:tbl>
      <w:tblPr>
        <w:tblStyle w:val="affb"/>
        <w:tblW w:w="10418" w:type="dxa"/>
        <w:jc w:val="left"/>
        <w:tblInd w:w="-387" w:type="dxa"/>
        <w:tblLayout w:type="fixed"/>
        <w:tblCellMar>
          <w:top w:w="0" w:type="dxa"/>
          <w:left w:w="108" w:type="dxa"/>
          <w:bottom w:w="0" w:type="dxa"/>
          <w:right w:w="108" w:type="dxa"/>
        </w:tblCellMar>
        <w:tblLook w:firstRow="1" w:noVBand="1" w:lastRow="0" w:firstColumn="1" w:lastColumn="0" w:noHBand="0" w:val="04a0"/>
      </w:tblPr>
      <w:tblGrid>
        <w:gridCol w:w="1200"/>
        <w:gridCol w:w="3270"/>
        <w:gridCol w:w="5948"/>
      </w:tblGrid>
      <w:tr>
        <w:trPr/>
        <w:tc>
          <w:tcPr>
            <w:tcW w:w="1200" w:type="dxa"/>
            <w:tcBorders/>
          </w:tcPr>
          <w:p>
            <w:pPr>
              <w:pStyle w:val="15"/>
              <w:widowControl w:val="false"/>
              <w:suppressAutoHyphens w:val="true"/>
              <w:spacing w:before="0" w:after="20"/>
              <w:ind w:hanging="0"/>
              <w:jc w:val="center"/>
              <w:rPr>
                <w:rFonts w:ascii="Times New Roman" w:hAnsi="Times New Roman" w:cs="Times New Roman"/>
                <w:b/>
                <w:b/>
                <w:sz w:val="22"/>
                <w:szCs w:val="22"/>
              </w:rPr>
            </w:pPr>
            <w:r>
              <w:rPr>
                <w:rFonts w:cs="Times New Roman" w:ascii="Times New Roman" w:hAnsi="Times New Roman"/>
                <w:b/>
                <w:kern w:val="0"/>
                <w:sz w:val="22"/>
                <w:szCs w:val="22"/>
                <w:lang w:bidi="ar-SA"/>
              </w:rPr>
              <w:t xml:space="preserve">№ </w:t>
            </w:r>
            <w:r>
              <w:rPr>
                <w:rFonts w:cs="Times New Roman" w:ascii="Times New Roman" w:hAnsi="Times New Roman"/>
                <w:b/>
                <w:kern w:val="0"/>
                <w:sz w:val="22"/>
                <w:szCs w:val="22"/>
                <w:lang w:bidi="ar-SA"/>
              </w:rPr>
              <w:t>з/п</w:t>
            </w:r>
          </w:p>
        </w:tc>
        <w:tc>
          <w:tcPr>
            <w:tcW w:w="3270" w:type="dxa"/>
            <w:tcBorders/>
          </w:tcPr>
          <w:p>
            <w:pPr>
              <w:pStyle w:val="15"/>
              <w:widowControl w:val="false"/>
              <w:suppressAutoHyphens w:val="true"/>
              <w:spacing w:before="0" w:after="20"/>
              <w:ind w:hanging="0"/>
              <w:jc w:val="center"/>
              <w:rPr>
                <w:rFonts w:ascii="Times New Roman" w:hAnsi="Times New Roman" w:cs="Times New Roman"/>
                <w:b/>
                <w:b/>
                <w:sz w:val="22"/>
                <w:szCs w:val="22"/>
              </w:rPr>
            </w:pPr>
            <w:r>
              <w:rPr>
                <w:rFonts w:cs="Times New Roman" w:ascii="Times New Roman" w:hAnsi="Times New Roman"/>
                <w:b/>
                <w:kern w:val="0"/>
                <w:sz w:val="22"/>
                <w:szCs w:val="22"/>
                <w:lang w:bidi="ar-SA"/>
              </w:rPr>
              <w:t>Кваліфікаційний критерій</w:t>
            </w:r>
          </w:p>
        </w:tc>
        <w:tc>
          <w:tcPr>
            <w:tcW w:w="5948" w:type="dxa"/>
            <w:tcBorders/>
          </w:tcPr>
          <w:p>
            <w:pPr>
              <w:pStyle w:val="15"/>
              <w:widowControl w:val="false"/>
              <w:suppressAutoHyphens w:val="true"/>
              <w:spacing w:before="0" w:after="20"/>
              <w:ind w:hanging="0"/>
              <w:jc w:val="center"/>
              <w:rPr>
                <w:rFonts w:ascii="Times New Roman" w:hAnsi="Times New Roman" w:cs="Times New Roman"/>
                <w:b/>
                <w:b/>
                <w:sz w:val="22"/>
                <w:szCs w:val="22"/>
              </w:rPr>
            </w:pPr>
            <w:r>
              <w:rPr>
                <w:rFonts w:cs="Times New Roman" w:ascii="Times New Roman" w:hAnsi="Times New Roman"/>
                <w:b/>
                <w:kern w:val="0"/>
                <w:sz w:val="22"/>
                <w:szCs w:val="22"/>
                <w:lang w:bidi="ar-SA"/>
              </w:rPr>
              <w:t>Документи, які підтверджують відповідність Учасника кваліфікаційному критерію</w:t>
            </w:r>
          </w:p>
        </w:tc>
      </w:tr>
      <w:tr>
        <w:trPr/>
        <w:tc>
          <w:tcPr>
            <w:tcW w:w="1200" w:type="dxa"/>
            <w:tcBorders>
              <w:top w:val="nil"/>
            </w:tcBorders>
          </w:tcPr>
          <w:p>
            <w:pPr>
              <w:pStyle w:val="15"/>
              <w:widowControl w:val="false"/>
              <w:tabs>
                <w:tab w:val="clear" w:pos="720"/>
                <w:tab w:val="left" w:pos="1080" w:leader="none"/>
              </w:tabs>
              <w:suppressAutoHyphens w:val="true"/>
              <w:spacing w:lineRule="auto" w:line="259" w:before="0" w:after="160"/>
              <w:ind w:left="227" w:right="510" w:hanging="0"/>
              <w:jc w:val="center"/>
              <w:rPr>
                <w:rFonts w:ascii="Times New Roman" w:hAnsi="Times New Roman" w:cs="Times New Roman"/>
                <w:b/>
                <w:b/>
                <w:sz w:val="22"/>
                <w:szCs w:val="22"/>
                <w:lang w:bidi="ar-SA"/>
              </w:rPr>
            </w:pPr>
            <w:r>
              <w:rPr>
                <w:rFonts w:cs="Times New Roman" w:ascii="Times New Roman" w:hAnsi="Times New Roman"/>
                <w:b/>
                <w:kern w:val="0"/>
                <w:sz w:val="22"/>
                <w:szCs w:val="22"/>
                <w:lang w:bidi="ar-SA"/>
              </w:rPr>
              <w:t>1.</w:t>
            </w:r>
          </w:p>
        </w:tc>
        <w:tc>
          <w:tcPr>
            <w:tcW w:w="3270" w:type="dxa"/>
            <w:tcBorders>
              <w:top w:val="nil"/>
            </w:tcBorders>
          </w:tcPr>
          <w:p>
            <w:pPr>
              <w:pStyle w:val="15"/>
              <w:widowControl w:val="false"/>
              <w:tabs>
                <w:tab w:val="clear" w:pos="720"/>
                <w:tab w:val="left" w:pos="1080" w:leader="none"/>
              </w:tabs>
              <w:suppressAutoHyphens w:val="true"/>
              <w:spacing w:lineRule="auto" w:line="259" w:before="0" w:after="160"/>
              <w:ind w:left="170" w:hanging="0"/>
              <w:jc w:val="left"/>
              <w:rPr>
                <w:rFonts w:ascii="Times New Roman" w:hAnsi="Times New Roman" w:cs="Times New Roman"/>
                <w:sz w:val="22"/>
                <w:szCs w:val="22"/>
              </w:rPr>
            </w:pPr>
            <w:r>
              <w:rPr>
                <w:rFonts w:cs="Times New Roman" w:ascii="Times New Roman" w:hAnsi="Times New Roman"/>
                <w:kern w:val="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948" w:type="dxa"/>
            <w:tcBorders>
              <w:top w:val="nil"/>
            </w:tcBorders>
          </w:tcPr>
          <w:p>
            <w:pPr>
              <w:pStyle w:val="15"/>
              <w:widowControl w:val="false"/>
              <w:suppressAutoHyphens w:val="true"/>
              <w:spacing w:lineRule="auto" w:line="259" w:before="0" w:after="160"/>
              <w:ind w:left="227" w:hanging="0"/>
              <w:rPr>
                <w:sz w:val="22"/>
                <w:szCs w:val="22"/>
              </w:rPr>
            </w:pPr>
            <w:r>
              <w:rPr>
                <w:rFonts w:cs="Times New Roman" w:ascii="Times New Roman" w:hAnsi="Times New Roman"/>
                <w:kern w:val="0"/>
                <w:sz w:val="22"/>
                <w:szCs w:val="22"/>
              </w:rPr>
              <w:t xml:space="preserve">1.1. Довідка про виконання аналогічних/ого договорів/договору, де зазначено повне найменування замовника згідно таких договорів; його адреса та контактний номер телефону; відомості про найменування поставлених товарів </w:t>
            </w:r>
            <w:r>
              <w:rPr>
                <w:rFonts w:cs="Times New Roman" w:ascii="Times New Roman" w:hAnsi="Times New Roman"/>
                <w:color w:val="000000"/>
                <w:kern w:val="0"/>
                <w:sz w:val="22"/>
                <w:szCs w:val="22"/>
              </w:rPr>
              <w:t>(крім відомостей, що становлять комерційну таємницю чи конфіденційну інформацію).</w:t>
            </w:r>
          </w:p>
          <w:p>
            <w:pPr>
              <w:pStyle w:val="15"/>
              <w:widowControl w:val="false"/>
              <w:tabs>
                <w:tab w:val="clear" w:pos="720"/>
                <w:tab w:val="left" w:pos="390" w:leader="none"/>
              </w:tabs>
              <w:suppressAutoHyphens w:val="true"/>
              <w:spacing w:lineRule="auto" w:line="259" w:before="0" w:after="160"/>
              <w:ind w:left="227" w:hanging="0"/>
              <w:rPr>
                <w:rFonts w:ascii="Times New Roman" w:hAnsi="Times New Roman" w:cs="Times New Roman"/>
                <w:sz w:val="22"/>
                <w:szCs w:val="22"/>
              </w:rPr>
            </w:pPr>
            <w:r>
              <w:rPr>
                <w:rFonts w:cs="Times New Roman" w:ascii="Times New Roman" w:hAnsi="Times New Roman"/>
                <w:color w:val="000000"/>
                <w:kern w:val="0"/>
                <w:sz w:val="22"/>
                <w:szCs w:val="22"/>
              </w:rPr>
              <w:t>1.2. Документ (документи), що підтверджують досвід виконання аналогічного договору (договорів): сканована (скановані) копія (копії) аналогічних (аналогічного) договорів (договору) з усіма додатками та додатковими угодами, ВСІХ зазначених (зазначеного) у довідці та документів, що підтверджують виконання зобов’язань за цими (цим) договорами (договором) (акти прийняття-передачі товару підписані сторонами договору тощо).</w:t>
            </w:r>
          </w:p>
          <w:p>
            <w:pPr>
              <w:pStyle w:val="15"/>
              <w:widowControl w:val="false"/>
              <w:suppressAutoHyphens w:val="true"/>
              <w:spacing w:lineRule="auto" w:line="259" w:before="0" w:after="160"/>
              <w:ind w:left="283" w:hanging="0"/>
              <w:rPr>
                <w:rFonts w:ascii="Times New Roman" w:hAnsi="Times New Roman" w:cs="Times New Roman"/>
                <w:color w:val="000000"/>
                <w:sz w:val="22"/>
                <w:szCs w:val="22"/>
              </w:rPr>
            </w:pPr>
            <w:r>
              <w:rPr>
                <w:rFonts w:cs="Times New Roman" w:ascii="Times New Roman" w:hAnsi="Times New Roman"/>
                <w:color w:val="000000"/>
                <w:kern w:val="0"/>
                <w:sz w:val="22"/>
                <w:szCs w:val="22"/>
              </w:rPr>
              <w:t>При наданні документів конфіденційна інформація (зокрема, суми/вартість)  може бути прихована (зачернена).</w:t>
            </w:r>
          </w:p>
          <w:p>
            <w:pPr>
              <w:pStyle w:val="15"/>
              <w:widowControl w:val="false"/>
              <w:suppressAutoHyphens w:val="true"/>
              <w:ind w:left="720" w:hanging="0"/>
              <w:rPr>
                <w:rFonts w:ascii="Times New Roman" w:hAnsi="Times New Roman" w:cs="Times New Roman"/>
                <w:b/>
                <w:b/>
                <w:bCs/>
                <w:i/>
                <w:i/>
                <w:iCs/>
                <w:sz w:val="22"/>
                <w:szCs w:val="22"/>
              </w:rPr>
            </w:pPr>
            <w:r>
              <w:rPr>
                <w:rFonts w:cs="Times New Roman" w:ascii="Times New Roman" w:hAnsi="Times New Roman"/>
                <w:b/>
                <w:bCs/>
                <w:i/>
                <w:iCs/>
                <w:kern w:val="0"/>
                <w:sz w:val="22"/>
                <w:szCs w:val="22"/>
              </w:rPr>
              <w:t>Примітки:</w:t>
            </w:r>
          </w:p>
          <w:p>
            <w:pPr>
              <w:pStyle w:val="15"/>
              <w:widowControl w:val="false"/>
              <w:tabs>
                <w:tab w:val="clear" w:pos="720"/>
                <w:tab w:val="left" w:pos="390" w:leader="none"/>
                <w:tab w:val="left" w:pos="1080" w:leader="none"/>
              </w:tabs>
              <w:suppressAutoHyphens w:val="true"/>
              <w:spacing w:lineRule="auto" w:line="259" w:before="0" w:after="160"/>
              <w:ind w:left="283" w:hanging="0"/>
              <w:rPr>
                <w:rFonts w:ascii="Times New Roman" w:hAnsi="Times New Roman" w:cs="Times New Roman"/>
                <w:i/>
                <w:i/>
                <w:iCs/>
                <w:sz w:val="22"/>
                <w:szCs w:val="22"/>
              </w:rPr>
            </w:pPr>
            <w:r>
              <w:rPr>
                <w:rFonts w:cs="Times New Roman" w:ascii="Times New Roman" w:hAnsi="Times New Roman"/>
                <w:i/>
                <w:iCs/>
                <w:kern w:val="0"/>
                <w:sz w:val="22"/>
                <w:szCs w:val="22"/>
              </w:rPr>
              <w:t xml:space="preserve"> </w:t>
            </w:r>
            <w:r>
              <w:rPr>
                <w:rFonts w:cs="Times New Roman" w:ascii="Times New Roman" w:hAnsi="Times New Roman"/>
                <w:i/>
                <w:iCs/>
                <w:kern w:val="0"/>
                <w:sz w:val="22"/>
                <w:szCs w:val="22"/>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 або товару з найбільш схожими характеристиками чи призначенням.</w:t>
            </w:r>
          </w:p>
        </w:tc>
      </w:tr>
      <w:tr>
        <w:trPr/>
        <w:tc>
          <w:tcPr>
            <w:tcW w:w="1200" w:type="dxa"/>
            <w:tcBorders/>
          </w:tcPr>
          <w:p>
            <w:pPr>
              <w:pStyle w:val="15"/>
              <w:widowControl w:val="false"/>
              <w:tabs>
                <w:tab w:val="clear" w:pos="720"/>
                <w:tab w:val="left" w:pos="1080" w:leader="none"/>
              </w:tabs>
              <w:suppressAutoHyphens w:val="true"/>
              <w:spacing w:lineRule="auto" w:line="259" w:before="0" w:after="160"/>
              <w:ind w:left="227" w:right="510" w:hanging="0"/>
              <w:jc w:val="center"/>
              <w:rPr>
                <w:rFonts w:ascii="Times New Roman" w:hAnsi="Times New Roman" w:cs="Times New Roman"/>
                <w:b/>
                <w:b/>
                <w:sz w:val="22"/>
                <w:szCs w:val="22"/>
                <w:lang w:bidi="ar-SA"/>
              </w:rPr>
            </w:pPr>
            <w:r>
              <w:rPr>
                <w:rFonts w:cs="Times New Roman" w:ascii="Times New Roman" w:hAnsi="Times New Roman"/>
                <w:b/>
                <w:kern w:val="0"/>
                <w:sz w:val="22"/>
                <w:szCs w:val="22"/>
                <w:lang w:bidi="ar-SA"/>
              </w:rPr>
              <w:t>2</w:t>
            </w:r>
          </w:p>
        </w:tc>
        <w:tc>
          <w:tcPr>
            <w:tcW w:w="3270" w:type="dxa"/>
            <w:tcBorders/>
          </w:tcPr>
          <w:p>
            <w:pPr>
              <w:pStyle w:val="Normal"/>
              <w:widowControl w:val="false"/>
              <w:tabs>
                <w:tab w:val="clear" w:pos="720"/>
                <w:tab w:val="left" w:pos="1080" w:leader="none"/>
              </w:tabs>
              <w:suppressAutoHyphens w:val="true"/>
              <w:spacing w:lineRule="auto" w:line="259" w:before="0" w:after="160"/>
              <w:ind w:left="170" w:hanging="0"/>
              <w:jc w:val="left"/>
              <w:rPr>
                <w:sz w:val="22"/>
                <w:szCs w:val="22"/>
              </w:rPr>
            </w:pPr>
            <w:r>
              <w:rPr>
                <w:rFonts w:eastAsia="Calibri" w:cs="Times New Roman"/>
                <w:kern w:val="0"/>
                <w:sz w:val="22"/>
                <w:szCs w:val="22"/>
                <w:lang w:val="ru-RU" w:eastAsia="en-US" w:bidi="ar-SA"/>
              </w:rPr>
              <w:t xml:space="preserve">Наявність обладнання </w:t>
            </w:r>
            <w:r>
              <w:rPr>
                <w:rFonts w:eastAsia="Calibri" w:cs="Times New Roman"/>
                <w:kern w:val="0"/>
                <w:sz w:val="22"/>
                <w:szCs w:val="22"/>
                <w:lang w:val="uk-UA" w:eastAsia="en-US" w:bidi="ar-SA"/>
              </w:rPr>
              <w:t>,</w:t>
            </w:r>
            <w:r>
              <w:rPr>
                <w:rFonts w:eastAsia="Calibri" w:cs="Times New Roman"/>
                <w:kern w:val="0"/>
                <w:sz w:val="22"/>
                <w:szCs w:val="22"/>
                <w:lang w:val="ru-RU" w:eastAsia="en-US" w:bidi="ar-SA"/>
              </w:rPr>
              <w:t xml:space="preserve"> матеріально-технічної бази</w:t>
            </w:r>
            <w:r>
              <w:rPr>
                <w:rFonts w:eastAsia="Calibri" w:cs="Times New Roman"/>
                <w:kern w:val="0"/>
                <w:sz w:val="22"/>
                <w:szCs w:val="22"/>
                <w:lang w:val="uk-UA" w:eastAsia="en-US" w:bidi="ar-SA"/>
              </w:rPr>
              <w:t xml:space="preserve"> та технологій</w:t>
            </w:r>
          </w:p>
        </w:tc>
        <w:tc>
          <w:tcPr>
            <w:tcW w:w="5948" w:type="dxa"/>
            <w:tcBorders/>
          </w:tcPr>
          <w:p>
            <w:pPr>
              <w:pStyle w:val="Normal"/>
              <w:widowControl w:val="false"/>
              <w:suppressAutoHyphens w:val="true"/>
              <w:spacing w:lineRule="auto" w:line="259" w:before="0" w:after="160"/>
              <w:ind w:left="227" w:hanging="0"/>
              <w:jc w:val="both"/>
              <w:rPr>
                <w:sz w:val="22"/>
                <w:szCs w:val="22"/>
              </w:rPr>
            </w:pPr>
            <w:r>
              <w:rPr>
                <w:rFonts w:eastAsia="Calibri" w:cs="Times New Roman"/>
                <w:kern w:val="0"/>
                <w:sz w:val="22"/>
                <w:szCs w:val="22"/>
                <w:lang w:val="uk-UA" w:eastAsia="en-US" w:bidi="ar-SA"/>
              </w:rPr>
              <w:t>2</w:t>
            </w:r>
            <w:r>
              <w:rPr>
                <w:rFonts w:eastAsia="Calibri" w:cs="Times New Roman"/>
                <w:kern w:val="0"/>
                <w:sz w:val="22"/>
                <w:szCs w:val="22"/>
                <w:lang w:val="ru-RU" w:eastAsia="en-US" w:bidi="ar-SA"/>
              </w:rPr>
              <w:t xml:space="preserve">.1. </w:t>
            </w:r>
            <w:r>
              <w:rPr>
                <w:rFonts w:eastAsia="Calibri" w:cs="Times New Roman"/>
                <w:kern w:val="0"/>
                <w:sz w:val="22"/>
                <w:szCs w:val="22"/>
                <w:lang w:val="ru-RU" w:eastAsia="uk-UA" w:bidi="ar-SA"/>
              </w:rPr>
              <w:t>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w:t>
            </w:r>
          </w:p>
        </w:tc>
      </w:tr>
      <w:tr>
        <w:trPr/>
        <w:tc>
          <w:tcPr>
            <w:tcW w:w="1200" w:type="dxa"/>
            <w:tcBorders>
              <w:top w:val="nil"/>
            </w:tcBorders>
          </w:tcPr>
          <w:p>
            <w:pPr>
              <w:pStyle w:val="15"/>
              <w:widowControl w:val="false"/>
              <w:tabs>
                <w:tab w:val="clear" w:pos="720"/>
                <w:tab w:val="left" w:pos="1080" w:leader="none"/>
              </w:tabs>
              <w:suppressAutoHyphens w:val="true"/>
              <w:spacing w:lineRule="auto" w:line="259" w:before="0" w:after="160"/>
              <w:ind w:left="227" w:right="510" w:hanging="0"/>
              <w:jc w:val="center"/>
              <w:rPr>
                <w:rFonts w:ascii="Times New Roman" w:hAnsi="Times New Roman" w:cs="Times New Roman"/>
                <w:b/>
                <w:b/>
                <w:sz w:val="22"/>
                <w:szCs w:val="22"/>
                <w:lang w:bidi="ar-SA"/>
              </w:rPr>
            </w:pPr>
            <w:r>
              <w:rPr>
                <w:rFonts w:cs="Times New Roman" w:ascii="Times New Roman" w:hAnsi="Times New Roman"/>
                <w:b/>
                <w:kern w:val="0"/>
                <w:sz w:val="22"/>
                <w:szCs w:val="22"/>
                <w:lang w:bidi="ar-SA"/>
              </w:rPr>
              <w:t>3</w:t>
            </w:r>
          </w:p>
        </w:tc>
        <w:tc>
          <w:tcPr>
            <w:tcW w:w="3270" w:type="dxa"/>
            <w:tcBorders>
              <w:top w:val="nil"/>
            </w:tcBorders>
          </w:tcPr>
          <w:p>
            <w:pPr>
              <w:pStyle w:val="Normal"/>
              <w:widowControl w:val="false"/>
              <w:tabs>
                <w:tab w:val="clear" w:pos="720"/>
                <w:tab w:val="left" w:pos="1080" w:leader="none"/>
              </w:tabs>
              <w:suppressAutoHyphens w:val="true"/>
              <w:spacing w:lineRule="auto" w:line="259" w:before="0" w:after="160"/>
              <w:ind w:left="170" w:hanging="0"/>
              <w:jc w:val="left"/>
              <w:rPr>
                <w:sz w:val="22"/>
                <w:szCs w:val="22"/>
                <w:lang w:val="uk-UA"/>
              </w:rPr>
            </w:pPr>
            <w:r>
              <w:rPr>
                <w:rFonts w:eastAsia="Calibri" w:cs="Times New Roman"/>
                <w:kern w:val="0"/>
                <w:sz w:val="22"/>
                <w:szCs w:val="22"/>
                <w:lang w:val="uk-UA" w:eastAsia="en-US" w:bidi="ar-SA"/>
              </w:rPr>
              <w:t>Наявність працівників відповідної кваліфікації, які мають необхідні знання та досвід</w:t>
            </w:r>
          </w:p>
        </w:tc>
        <w:tc>
          <w:tcPr>
            <w:tcW w:w="5948" w:type="dxa"/>
            <w:tcBorders>
              <w:top w:val="nil"/>
            </w:tcBorders>
          </w:tcPr>
          <w:p>
            <w:pPr>
              <w:pStyle w:val="Normal"/>
              <w:widowControl w:val="false"/>
              <w:tabs>
                <w:tab w:val="clear" w:pos="720"/>
                <w:tab w:val="left" w:pos="1080" w:leader="none"/>
              </w:tabs>
              <w:suppressAutoHyphens w:val="true"/>
              <w:spacing w:lineRule="auto" w:line="259" w:before="0" w:after="160"/>
              <w:ind w:left="227" w:hanging="0"/>
              <w:jc w:val="both"/>
              <w:rPr>
                <w:sz w:val="22"/>
                <w:szCs w:val="22"/>
              </w:rPr>
            </w:pPr>
            <w:r>
              <w:rPr>
                <w:rFonts w:eastAsia="Calibri" w:cs="Times New Roman"/>
                <w:kern w:val="0"/>
                <w:sz w:val="22"/>
                <w:szCs w:val="22"/>
                <w:lang w:val="uk-UA" w:eastAsia="en-US" w:bidi="ar-SA"/>
              </w:rPr>
              <w:t>3</w:t>
            </w:r>
            <w:r>
              <w:rPr>
                <w:rFonts w:eastAsia="Calibri" w:cs="Times New Roman"/>
                <w:kern w:val="0"/>
                <w:sz w:val="22"/>
                <w:szCs w:val="22"/>
                <w:lang w:val="ru-RU" w:eastAsia="en-US" w:bidi="ar-SA"/>
              </w:rPr>
              <w:t xml:space="preserve">.1. Довідка у довільній формі, що містить інформацію  </w:t>
            </w:r>
            <w:r>
              <w:rPr>
                <w:rFonts w:eastAsia="Calibri" w:cs="Times New Roman"/>
                <w:kern w:val="0"/>
                <w:sz w:val="22"/>
                <w:szCs w:val="22"/>
                <w:lang w:val="ru-RU" w:eastAsia="he-IL" w:bidi="he-IL"/>
              </w:rPr>
              <w:t xml:space="preserve">про </w:t>
            </w:r>
            <w:r>
              <w:rPr>
                <w:rFonts w:eastAsia="Calibri" w:cs="Times New Roman"/>
                <w:kern w:val="0"/>
                <w:sz w:val="22"/>
                <w:szCs w:val="22"/>
                <w:lang w:val="ru-RU" w:eastAsia="en-US" w:bidi="ar-SA"/>
              </w:rPr>
              <w:t>працівників, які будуть залучатися до виконання договору (для юридичних осіб та фізичних осіб - підприємців, які мають найманих працівників) / або довідка у довільній формі, що містить інформацію про досвід фізичної особи-підприємця (для фізичних осіб - підприємців, які працюють без залучення найманих працівників).</w:t>
            </w:r>
          </w:p>
        </w:tc>
      </w:tr>
    </w:tbl>
    <w:p>
      <w:pPr>
        <w:pStyle w:val="15"/>
        <w:rPr/>
      </w:pPr>
      <w:r>
        <w:rPr>
          <w:rFonts w:cs="Times New Roman" w:ascii="Times New Roman" w:hAnsi="Times New Roman"/>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pPr>
        <w:pStyle w:val="15"/>
        <w:jc w:val="center"/>
        <w:rPr>
          <w:rFonts w:ascii="Times New Roman" w:hAnsi="Times New Roman" w:cs="Times New Roman"/>
          <w:b/>
          <w:b/>
          <w:sz w:val="22"/>
          <w:szCs w:val="22"/>
        </w:rPr>
      </w:pPr>
      <w:r>
        <w:rPr>
          <w:rFonts w:cs="Times New Roman" w:ascii="Times New Roman" w:hAnsi="Times New Roman"/>
          <w:b/>
          <w:sz w:val="22"/>
          <w:szCs w:val="22"/>
        </w:rPr>
      </w:r>
    </w:p>
    <w:p>
      <w:pPr>
        <w:pStyle w:val="15"/>
        <w:jc w:val="center"/>
        <w:rPr/>
      </w:pPr>
      <w:r>
        <w:rPr>
          <w:rFonts w:cs="Times New Roman" w:ascii="Times New Roman" w:hAnsi="Times New Roman"/>
          <w:b/>
          <w:sz w:val="22"/>
          <w:szCs w:val="22"/>
        </w:rPr>
        <w:t>2.Інформація, встановлена відповідно до законодавства (для УЧАСНИКІВ - юридичних осіб, фізичних осіб та фізичних осіб-підприємців):</w:t>
      </w:r>
    </w:p>
    <w:p>
      <w:pPr>
        <w:pStyle w:val="15"/>
        <w:rPr>
          <w:rFonts w:ascii="Times New Roman" w:hAnsi="Times New Roman" w:cs="Times New Roman"/>
          <w:i/>
          <w:i/>
          <w:sz w:val="22"/>
          <w:szCs w:val="22"/>
        </w:rPr>
      </w:pPr>
      <w:r>
        <w:rPr>
          <w:rFonts w:cs="Times New Roman" w:ascii="Times New Roman" w:hAnsi="Times New Roman"/>
          <w:i/>
          <w:sz w:val="22"/>
          <w:szCs w:val="22"/>
        </w:rPr>
      </w:r>
    </w:p>
    <w:tbl>
      <w:tblPr>
        <w:tblStyle w:val="affb"/>
        <w:tblW w:w="10433" w:type="dxa"/>
        <w:jc w:val="left"/>
        <w:tblInd w:w="-402" w:type="dxa"/>
        <w:tblLayout w:type="fixed"/>
        <w:tblCellMar>
          <w:top w:w="0" w:type="dxa"/>
          <w:left w:w="108" w:type="dxa"/>
          <w:bottom w:w="0" w:type="dxa"/>
          <w:right w:w="108" w:type="dxa"/>
        </w:tblCellMar>
        <w:tblLook w:firstRow="1" w:noVBand="1" w:lastRow="0" w:firstColumn="1" w:lastColumn="0" w:noHBand="0" w:val="04a0"/>
      </w:tblPr>
      <w:tblGrid>
        <w:gridCol w:w="1073"/>
        <w:gridCol w:w="9359"/>
      </w:tblGrid>
      <w:tr>
        <w:trPr/>
        <w:tc>
          <w:tcPr>
            <w:tcW w:w="10432" w:type="dxa"/>
            <w:gridSpan w:val="2"/>
            <w:tcBorders/>
          </w:tcPr>
          <w:p>
            <w:pPr>
              <w:pStyle w:val="15"/>
              <w:widowControl w:val="false"/>
              <w:suppressAutoHyphens w:val="true"/>
              <w:spacing w:before="0" w:after="20"/>
              <w:jc w:val="center"/>
              <w:rPr>
                <w:rFonts w:ascii="Times New Roman" w:hAnsi="Times New Roman" w:cs="Times New Roman"/>
                <w:b/>
                <w:b/>
                <w:sz w:val="22"/>
                <w:szCs w:val="22"/>
              </w:rPr>
            </w:pPr>
            <w:r>
              <w:rPr>
                <w:rFonts w:cs="Times New Roman" w:ascii="Times New Roman" w:hAnsi="Times New Roman"/>
                <w:b/>
                <w:kern w:val="0"/>
                <w:sz w:val="22"/>
                <w:szCs w:val="22"/>
                <w:lang w:bidi="ar-SA"/>
              </w:rPr>
              <w:t>Інші документи від Учасника:</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1</w:t>
            </w:r>
          </w:p>
        </w:tc>
        <w:tc>
          <w:tcPr>
            <w:tcW w:w="9359" w:type="dxa"/>
            <w:tcBorders/>
          </w:tcPr>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Для фізичних осіб, фізичних осіб- підприємців:</w:t>
            </w:r>
          </w:p>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w:t>
            </w:r>
          </w:p>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No5492-VI (із змінами).</w:t>
            </w:r>
          </w:p>
        </w:tc>
      </w:tr>
      <w:tr>
        <w:trPr/>
        <w:tc>
          <w:tcPr>
            <w:tcW w:w="1073" w:type="dxa"/>
            <w:tcBorders/>
          </w:tcPr>
          <w:p>
            <w:pPr>
              <w:pStyle w:val="15"/>
              <w:widowControl w:val="false"/>
              <w:suppressAutoHyphens w:val="true"/>
              <w:spacing w:before="0" w:after="20"/>
              <w:ind w:hanging="0"/>
              <w:jc w:val="left"/>
              <w:rPr>
                <w:rFonts w:ascii="Times New Roman" w:hAnsi="Times New Roman" w:cs="Times New Roman"/>
                <w:i/>
                <w:i/>
                <w:sz w:val="22"/>
                <w:szCs w:val="22"/>
              </w:rPr>
            </w:pPr>
            <w:r>
              <w:rPr>
                <w:rFonts w:cs="Times New Roman" w:ascii="Times New Roman" w:hAnsi="Times New Roman"/>
                <w:i/>
                <w:kern w:val="0"/>
                <w:sz w:val="22"/>
                <w:szCs w:val="22"/>
              </w:rPr>
              <w:t>2</w:t>
            </w:r>
          </w:p>
        </w:tc>
        <w:tc>
          <w:tcPr>
            <w:tcW w:w="9359" w:type="dxa"/>
            <w:tcBorders/>
          </w:tcPr>
          <w:p>
            <w:pPr>
              <w:pStyle w:val="Normal"/>
              <w:widowControl w:val="false"/>
              <w:tabs>
                <w:tab w:val="clear" w:pos="720"/>
                <w:tab w:val="left" w:pos="-252" w:leader="none"/>
              </w:tabs>
              <w:suppressAutoHyphens w:val="true"/>
              <w:spacing w:before="0" w:after="20"/>
              <w:jc w:val="left"/>
              <w:rPr>
                <w:sz w:val="22"/>
                <w:szCs w:val="22"/>
              </w:rPr>
            </w:pPr>
            <w:r>
              <w:rPr>
                <w:rFonts w:eastAsia="Calibri" w:cs="Times New Roman"/>
                <w:kern w:val="0"/>
                <w:sz w:val="22"/>
                <w:szCs w:val="22"/>
                <w:lang w:val="uk-UA" w:eastAsia="en-US" w:bidi="ar-SA"/>
              </w:rPr>
              <w:t>Свідоцтво про реєстрацію платника ПДВ або Витяг з реєстру платників податку на додану вартість (для платників ПДВ). Свідоцтво платника єдиного податку або Витяг з реєстру платників єдиного податку (для платників єдиного податку)</w:t>
            </w:r>
          </w:p>
        </w:tc>
      </w:tr>
      <w:tr>
        <w:trPr/>
        <w:tc>
          <w:tcPr>
            <w:tcW w:w="1073" w:type="dxa"/>
            <w:tcBorders>
              <w:top w:val="nil"/>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3</w:t>
            </w:r>
          </w:p>
        </w:tc>
        <w:tc>
          <w:tcPr>
            <w:tcW w:w="9359" w:type="dxa"/>
            <w:tcBorders>
              <w:top w:val="nil"/>
            </w:tcBorders>
          </w:tcPr>
          <w:p>
            <w:pPr>
              <w:pStyle w:val="15"/>
              <w:widowControl w:val="false"/>
              <w:suppressAutoHyphens w:val="true"/>
              <w:spacing w:lineRule="auto" w:line="240" w:before="0" w:after="0"/>
              <w:ind w:hanging="0"/>
              <w:rPr>
                <w:rFonts w:ascii="Times New Roman" w:hAnsi="Times New Roman" w:cs="Times New Roman"/>
                <w:sz w:val="22"/>
                <w:szCs w:val="22"/>
              </w:rPr>
            </w:pPr>
            <w:r>
              <w:rPr>
                <w:rFonts w:cs="Times New Roman" w:ascii="Times New Roman" w:hAnsi="Times New Roman"/>
                <w:kern w:val="0"/>
                <w:sz w:val="22"/>
                <w:szCs w:val="22"/>
                <w:lang w:bidi="ar-SA"/>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4</w:t>
            </w:r>
          </w:p>
        </w:tc>
        <w:tc>
          <w:tcPr>
            <w:tcW w:w="9359" w:type="dxa"/>
            <w:tcBorders/>
          </w:tcPr>
          <w:p>
            <w:pPr>
              <w:pStyle w:val="15"/>
              <w:widowControl w:val="false"/>
              <w:suppressAutoHyphens w:val="true"/>
              <w:spacing w:lineRule="auto" w:line="240" w:before="0" w:after="0"/>
              <w:rPr>
                <w:rFonts w:ascii="Times New Roman" w:hAnsi="Times New Roman" w:cs="Times New Roman"/>
                <w:sz w:val="22"/>
                <w:szCs w:val="22"/>
                <w:lang w:eastAsia="uk-UA"/>
              </w:rPr>
            </w:pPr>
            <w:r>
              <w:rPr>
                <w:rFonts w:cs="Times New Roman" w:ascii="Times New Roman" w:hAnsi="Times New Roman"/>
                <w:kern w:val="0"/>
                <w:sz w:val="22"/>
                <w:szCs w:val="22"/>
                <w:lang w:eastAsia="uk-UA" w:bidi="ar-SA"/>
              </w:rPr>
              <w:t>Для юридичних осіб:</w:t>
            </w:r>
          </w:p>
          <w:p>
            <w:pPr>
              <w:pStyle w:val="15"/>
              <w:widowControl w:val="false"/>
              <w:suppressAutoHyphens w:val="true"/>
              <w:spacing w:lineRule="auto" w:line="240" w:before="0" w:after="0"/>
              <w:rPr>
                <w:sz w:val="22"/>
                <w:szCs w:val="22"/>
              </w:rPr>
            </w:pPr>
            <w:r>
              <w:rPr>
                <w:rFonts w:cs="Times New Roman" w:ascii="Times New Roman" w:hAnsi="Times New Roman"/>
                <w:b/>
                <w:kern w:val="0"/>
                <w:sz w:val="22"/>
                <w:szCs w:val="22"/>
                <w:lang w:bidi="ar-SA"/>
              </w:rPr>
              <w:t>-</w:t>
            </w:r>
            <w:r>
              <w:rPr>
                <w:rFonts w:cs="Times New Roman" w:ascii="Times New Roman" w:hAnsi="Times New Roman"/>
                <w:kern w:val="0"/>
                <w:sz w:val="22"/>
                <w:szCs w:val="22"/>
                <w:lang w:bidi="ar-SA"/>
              </w:rPr>
              <w:t xml:space="preserve"> оригінал або копія протокольного рішення учасників (акціонерів, власників) з наданням повноважень на укладання договору (ів) або оригінал або копію довіреності на право підписання договору (ів) - в разі наявності обмежень щодо укладання таких договорів згідно установчих (статутних) документів.</w:t>
            </w:r>
          </w:p>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Якщо Учасником є товариство з обмеженою або додатковою відповідальністю, такий Учасник надає:</w:t>
            </w:r>
          </w:p>
          <w:p>
            <w:pPr>
              <w:pStyle w:val="15"/>
              <w:widowControl w:val="false"/>
              <w:suppressAutoHyphens w:val="true"/>
              <w:spacing w:lineRule="auto" w:line="240" w:before="0" w:after="0"/>
              <w:rPr>
                <w:sz w:val="22"/>
                <w:szCs w:val="22"/>
              </w:rPr>
            </w:pPr>
            <w:r>
              <w:rPr>
                <w:rFonts w:cs="Times New Roman" w:ascii="Times New Roman" w:hAnsi="Times New Roman"/>
                <w:kern w:val="0"/>
                <w:sz w:val="22"/>
                <w:szCs w:val="22"/>
                <w:lang w:bidi="ar-SA"/>
              </w:rPr>
              <w:t>- оригінал довідки в довільній формі, де зазначається, що ціна тендерної пропозиції перевищує/чи не перевищує 50% вартості чистих активів</w:t>
            </w:r>
            <w:r>
              <w:rPr>
                <w:rFonts w:cs="Times New Roman" w:ascii="Times New Roman" w:hAnsi="Times New Roman"/>
                <w:b/>
                <w:bCs/>
                <w:color w:val="365F91"/>
                <w:kern w:val="0"/>
                <w:sz w:val="22"/>
                <w:szCs w:val="22"/>
                <w:lang w:bidi="ar-SA"/>
              </w:rPr>
              <w:t xml:space="preserve"> </w:t>
            </w:r>
            <w:r>
              <w:rPr>
                <w:rFonts w:cs="Times New Roman" w:ascii="Times New Roman" w:hAnsi="Times New Roman"/>
                <w:kern w:val="0"/>
                <w:sz w:val="22"/>
                <w:szCs w:val="22"/>
                <w:lang w:bidi="ar-SA"/>
              </w:rPr>
              <w:t>товариства відповідно до останньої затвердженої фінансової звітності і що договір про закупівлю (у випадку коли такого Учасника визнають переможцем) не потребує/ або потребує згоди (рішення про надання згоди) загальних зборів учасників товариства;</w:t>
            </w:r>
          </w:p>
          <w:p>
            <w:pPr>
              <w:pStyle w:val="15"/>
              <w:widowControl w:val="false"/>
              <w:suppressAutoHyphens w:val="true"/>
              <w:spacing w:lineRule="auto" w:line="240" w:before="0" w:after="0"/>
              <w:rPr>
                <w:sz w:val="22"/>
                <w:szCs w:val="22"/>
              </w:rPr>
            </w:pPr>
            <w:r>
              <w:rPr>
                <w:rFonts w:cs="Times New Roman" w:ascii="Times New Roman" w:hAnsi="Times New Roman"/>
                <w:kern w:val="0"/>
                <w:sz w:val="22"/>
                <w:szCs w:val="22"/>
                <w:lang w:bidi="ar-SA"/>
              </w:rPr>
              <w:t>- оригінал або копію рішення загальних зборів учасників про надання згоди на вчинення правочину на продаж (поставку, надання послуг тощо) предмета закупівлі у випадку, якщо ціна тендерної пропозиції перевищує 50% вартості чистих активів</w:t>
            </w:r>
            <w:r>
              <w:rPr>
                <w:rFonts w:cs="Times New Roman" w:ascii="Times New Roman" w:hAnsi="Times New Roman"/>
                <w:b/>
                <w:bCs/>
                <w:color w:val="365F91"/>
                <w:kern w:val="0"/>
                <w:sz w:val="22"/>
                <w:szCs w:val="22"/>
                <w:lang w:bidi="ar-SA"/>
              </w:rPr>
              <w:t xml:space="preserve"> </w:t>
            </w:r>
            <w:r>
              <w:rPr>
                <w:rFonts w:cs="Times New Roman" w:ascii="Times New Roman" w:hAnsi="Times New Roman"/>
                <w:kern w:val="0"/>
                <w:sz w:val="22"/>
                <w:szCs w:val="22"/>
                <w:lang w:bidi="ar-SA"/>
              </w:rPr>
              <w:t>товариства відповідно до останньої затвердженої фінансової звітності.</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5</w:t>
            </w:r>
          </w:p>
        </w:tc>
        <w:tc>
          <w:tcPr>
            <w:tcW w:w="9359" w:type="dxa"/>
            <w:tcBorders/>
          </w:tcPr>
          <w:p>
            <w:pPr>
              <w:pStyle w:val="15"/>
              <w:widowControl w:val="false"/>
              <w:suppressAutoHyphens w:val="true"/>
              <w:spacing w:lineRule="auto" w:line="240" w:before="0" w:after="0"/>
              <w:rPr>
                <w:rFonts w:ascii="Times New Roman" w:hAnsi="Times New Roman" w:cs="Times New Roman"/>
                <w:sz w:val="22"/>
                <w:szCs w:val="22"/>
                <w:lang w:eastAsia="uk-UA"/>
              </w:rPr>
            </w:pPr>
            <w:r>
              <w:rPr>
                <w:rFonts w:cs="Times New Roman" w:ascii="Times New Roman" w:hAnsi="Times New Roman"/>
                <w:kern w:val="0"/>
                <w:sz w:val="22"/>
                <w:szCs w:val="22"/>
                <w:lang w:eastAsia="uk-UA" w:bidi="ar-SA"/>
              </w:rPr>
              <w:t>Для юридичних осіб:</w:t>
            </w:r>
          </w:p>
          <w:p>
            <w:pPr>
              <w:pStyle w:val="17"/>
              <w:widowControl w:val="false"/>
              <w:suppressAutoHyphens w:val="true"/>
              <w:spacing w:lineRule="auto" w:line="240" w:before="0" w:after="0"/>
              <w:ind w:left="0" w:firstLine="737"/>
              <w:rPr>
                <w:rFonts w:ascii="Times New Roman" w:hAnsi="Times New Roman" w:cs="Times New Roman"/>
                <w:lang w:val="uk-UA"/>
              </w:rPr>
            </w:pPr>
            <w:r>
              <w:rPr>
                <w:rFonts w:cs="Times New Roman" w:ascii="Times New Roman" w:hAnsi="Times New Roman"/>
                <w:kern w:val="0"/>
                <w:lang w:val="uk-UA" w:bidi="ar-SA"/>
              </w:rPr>
              <w:t>Копія чинної редакції Статуту (у разі його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15"/>
              <w:widowControl w:val="false"/>
              <w:suppressAutoHyphens w:val="true"/>
              <w:spacing w:lineRule="auto" w:line="240" w:before="0" w:after="0"/>
              <w:rPr>
                <w:rFonts w:ascii="Times New Roman" w:hAnsi="Times New Roman" w:cs="Times New Roman"/>
                <w:sz w:val="22"/>
                <w:szCs w:val="22"/>
              </w:rPr>
            </w:pPr>
            <w:r>
              <w:rPr>
                <w:rFonts w:cs="Times New Roman" w:ascii="Times New Roman" w:hAnsi="Times New Roman"/>
                <w:kern w:val="0"/>
                <w:sz w:val="22"/>
                <w:szCs w:val="22"/>
                <w:lang w:bidi="ar-S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trPr/>
        <w:tc>
          <w:tcPr>
            <w:tcW w:w="1073" w:type="dxa"/>
            <w:tcBorders/>
          </w:tcPr>
          <w:p>
            <w:pPr>
              <w:pStyle w:val="15"/>
              <w:widowControl w:val="false"/>
              <w:suppressAutoHyphens w:val="true"/>
              <w:spacing w:before="0" w:after="2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6</w:t>
            </w:r>
          </w:p>
        </w:tc>
        <w:tc>
          <w:tcPr>
            <w:tcW w:w="9359" w:type="dxa"/>
            <w:tcBorders/>
          </w:tcPr>
          <w:p>
            <w:pPr>
              <w:pStyle w:val="Normal"/>
              <w:widowControl w:val="false"/>
              <w:tabs>
                <w:tab w:val="clear" w:pos="720"/>
                <w:tab w:val="left" w:pos="1080" w:leader="none"/>
              </w:tabs>
              <w:suppressAutoHyphens w:val="true"/>
              <w:spacing w:before="0" w:after="20"/>
              <w:jc w:val="both"/>
              <w:rPr>
                <w:sz w:val="22"/>
                <w:szCs w:val="22"/>
                <w:lang w:val="uk-UA"/>
              </w:rPr>
            </w:pPr>
            <w:r>
              <w:rPr>
                <w:rFonts w:eastAsia="Calibri" w:cs="Times New Roman"/>
                <w:kern w:val="0"/>
                <w:sz w:val="22"/>
                <w:szCs w:val="22"/>
                <w:lang w:val="uk-UA" w:eastAsia="en-US" w:bidi="ar-S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7</w:t>
            </w:r>
          </w:p>
        </w:tc>
        <w:tc>
          <w:tcPr>
            <w:tcW w:w="9359" w:type="dxa"/>
            <w:tcBorders/>
          </w:tcPr>
          <w:p>
            <w:pPr>
              <w:pStyle w:val="15"/>
              <w:widowControl w:val="false"/>
              <w:suppressAutoHyphens w:val="true"/>
              <w:spacing w:lineRule="auto" w:line="240" w:before="0" w:after="0"/>
              <w:rPr/>
            </w:pPr>
            <w:r>
              <w:rPr>
                <w:rStyle w:val="Rvts0"/>
                <w:rFonts w:cs="Times New Roman" w:ascii="Times New Roman" w:hAnsi="Times New Roman"/>
                <w:kern w:val="0"/>
                <w:sz w:val="22"/>
                <w:szCs w:val="22"/>
                <w:lang w:bidi="ar-SA"/>
              </w:rPr>
              <w:t xml:space="preserve">Інформація про необхідні технічні, якісні та кількісні характеристики предмета закупівлі, </w:t>
            </w:r>
            <w:r>
              <w:rPr>
                <w:rFonts w:cs="Times New Roman" w:ascii="Times New Roman" w:hAnsi="Times New Roman"/>
                <w:color w:val="000000"/>
                <w:kern w:val="0"/>
                <w:sz w:val="22"/>
                <w:szCs w:val="22"/>
                <w:lang w:bidi="ar-SA"/>
              </w:rPr>
              <w:t>оформлена відповідно до Додатку 3 тендерної документації (з вказівкою характеристик товару, зазначених Замовником в Додатку 3 тендерної документації) в довільній формі за підписом Учасника.</w:t>
            </w:r>
          </w:p>
        </w:tc>
      </w:tr>
      <w:tr>
        <w:trPr/>
        <w:tc>
          <w:tcPr>
            <w:tcW w:w="1073" w:type="dxa"/>
            <w:tcBorders>
              <w:top w:val="nil"/>
            </w:tcBorders>
          </w:tcPr>
          <w:p>
            <w:pPr>
              <w:pStyle w:val="15"/>
              <w:widowControl w:val="false"/>
              <w:suppressAutoHyphens w:val="true"/>
              <w:spacing w:before="0" w:after="20"/>
              <w:ind w:hanging="0"/>
              <w:rPr>
                <w:rFonts w:ascii="Times New Roman" w:hAnsi="Times New Roman" w:cs="Times New Roman"/>
                <w:i/>
                <w:i/>
                <w:sz w:val="22"/>
                <w:szCs w:val="22"/>
              </w:rPr>
            </w:pPr>
            <w:r>
              <w:rPr>
                <w:rFonts w:cs="Times New Roman" w:ascii="Times New Roman" w:hAnsi="Times New Roman"/>
                <w:i/>
                <w:kern w:val="0"/>
                <w:sz w:val="22"/>
                <w:szCs w:val="22"/>
              </w:rPr>
              <w:t>8</w:t>
            </w:r>
          </w:p>
        </w:tc>
        <w:tc>
          <w:tcPr>
            <w:tcW w:w="9359" w:type="dxa"/>
            <w:tcBorders>
              <w:top w:val="nil"/>
            </w:tcBorders>
          </w:tcPr>
          <w:p>
            <w:pPr>
              <w:pStyle w:val="Normal"/>
              <w:widowControl w:val="false"/>
              <w:tabs>
                <w:tab w:val="clear" w:pos="720"/>
                <w:tab w:val="left" w:pos="1080" w:leader="none"/>
              </w:tabs>
              <w:suppressAutoHyphens w:val="true"/>
              <w:spacing w:before="0" w:after="20"/>
              <w:jc w:val="left"/>
              <w:rPr>
                <w:color w:val="000000"/>
                <w:sz w:val="22"/>
                <w:szCs w:val="22"/>
              </w:rPr>
            </w:pPr>
            <w:r>
              <w:rPr>
                <w:rFonts w:eastAsia="Calibri" w:cs="Times New Roman"/>
                <w:color w:val="000000"/>
                <w:kern w:val="0"/>
                <w:sz w:val="22"/>
                <w:szCs w:val="22"/>
                <w:lang w:val="uk-UA" w:eastAsia="en-US" w:bidi="ar-SA"/>
              </w:rPr>
              <w:t>Гарантійний лист в довільній формі про згоду з  Проектом договору. Порядком змін умов договору про закупівлю</w:t>
            </w:r>
          </w:p>
        </w:tc>
      </w:tr>
      <w:tr>
        <w:trPr/>
        <w:tc>
          <w:tcPr>
            <w:tcW w:w="1073" w:type="dxa"/>
            <w:tcBorders>
              <w:top w:val="nil"/>
            </w:tcBorders>
          </w:tcPr>
          <w:p>
            <w:pPr>
              <w:pStyle w:val="15"/>
              <w:widowControl w:val="false"/>
              <w:suppressAutoHyphens w:val="true"/>
              <w:spacing w:before="0" w:after="20"/>
              <w:ind w:hanging="0"/>
              <w:rPr>
                <w:rFonts w:ascii="Times New Roman" w:hAnsi="Times New Roman" w:cs="Times New Roman"/>
                <w:i/>
                <w:i/>
                <w:sz w:val="22"/>
                <w:szCs w:val="22"/>
              </w:rPr>
            </w:pPr>
            <w:r>
              <w:rPr>
                <w:rFonts w:cs="Times New Roman" w:ascii="Times New Roman" w:hAnsi="Times New Roman"/>
                <w:i/>
                <w:kern w:val="0"/>
                <w:sz w:val="22"/>
                <w:szCs w:val="22"/>
              </w:rPr>
              <w:t>9</w:t>
            </w:r>
          </w:p>
        </w:tc>
        <w:tc>
          <w:tcPr>
            <w:tcW w:w="9359" w:type="dxa"/>
            <w:tcBorders>
              <w:top w:val="nil"/>
            </w:tcBorders>
          </w:tcPr>
          <w:p>
            <w:pPr>
              <w:pStyle w:val="Normal"/>
              <w:widowControl w:val="false"/>
              <w:tabs>
                <w:tab w:val="clear" w:pos="720"/>
                <w:tab w:val="left" w:pos="120" w:leader="none"/>
              </w:tabs>
              <w:suppressAutoHyphens w:val="true"/>
              <w:spacing w:before="0" w:after="0"/>
              <w:jc w:val="both"/>
              <w:rPr>
                <w:sz w:val="22"/>
                <w:szCs w:val="22"/>
                <w:lang w:val="uk-UA"/>
              </w:rPr>
            </w:pPr>
            <w:r>
              <w:rPr>
                <w:rFonts w:eastAsia="Calibri" w:cs="Times New Roman"/>
                <w:kern w:val="0"/>
                <w:sz w:val="22"/>
                <w:szCs w:val="22"/>
                <w:lang w:val="uk-UA" w:eastAsia="en-US" w:bidi="ar-SA"/>
              </w:rPr>
              <w:t>Довідка в довільній формі, про захист та безпеку довкілля</w:t>
            </w:r>
          </w:p>
        </w:tc>
      </w:tr>
      <w:tr>
        <w:trPr/>
        <w:tc>
          <w:tcPr>
            <w:tcW w:w="1073" w:type="dxa"/>
            <w:tcBorders>
              <w:top w:val="nil"/>
            </w:tcBorders>
          </w:tcPr>
          <w:p>
            <w:pPr>
              <w:pStyle w:val="15"/>
              <w:widowControl w:val="false"/>
              <w:suppressAutoHyphens w:val="true"/>
              <w:spacing w:lineRule="auto" w:line="240" w:before="0" w:after="20"/>
              <w:ind w:hanging="0"/>
              <w:rPr>
                <w:rFonts w:ascii="Times New Roman" w:hAnsi="Times New Roman" w:cs="Times New Roman"/>
                <w:i/>
                <w:i/>
                <w:sz w:val="22"/>
                <w:szCs w:val="22"/>
              </w:rPr>
            </w:pPr>
            <w:r>
              <w:rPr>
                <w:rFonts w:cs="Times New Roman" w:ascii="Times New Roman" w:hAnsi="Times New Roman"/>
                <w:i/>
                <w:kern w:val="0"/>
                <w:sz w:val="22"/>
                <w:szCs w:val="22"/>
              </w:rPr>
              <w:t>10</w:t>
            </w:r>
          </w:p>
        </w:tc>
        <w:tc>
          <w:tcPr>
            <w:tcW w:w="9359" w:type="dxa"/>
            <w:tcBorders>
              <w:top w:val="nil"/>
            </w:tcBorders>
          </w:tcPr>
          <w:p>
            <w:pPr>
              <w:pStyle w:val="15"/>
              <w:widowControl w:val="false"/>
              <w:suppressAutoHyphens w:val="true"/>
              <w:spacing w:lineRule="auto" w:line="240" w:before="0" w:after="20"/>
              <w:rPr>
                <w:kern w:val="0"/>
              </w:rPr>
            </w:pPr>
            <w:r>
              <w:rPr>
                <w:rFonts w:cs="Times New Roman" w:ascii="Times New Roman" w:hAnsi="Times New Roman"/>
                <w:color w:val="000000"/>
                <w:kern w:val="0"/>
                <w:sz w:val="22"/>
                <w:szCs w:val="22"/>
              </w:rPr>
              <w:t>Гарантійний лист про те, що</w:t>
            </w:r>
            <w:r>
              <w:rPr>
                <w:rFonts w:cs="Times New Roman" w:ascii="Times New Roman" w:hAnsi="Times New Roman"/>
                <w:color w:val="000000"/>
                <w:kern w:val="0"/>
                <w:sz w:val="22"/>
                <w:szCs w:val="22"/>
                <w:lang w:eastAsia="en-US"/>
              </w:rPr>
              <w:t xml:space="preserve"> юридична особа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1073" w:type="dxa"/>
            <w:tcBorders>
              <w:top w:val="nil"/>
            </w:tcBorders>
          </w:tcPr>
          <w:p>
            <w:pPr>
              <w:pStyle w:val="15"/>
              <w:widowControl w:val="false"/>
              <w:suppressAutoHyphens w:val="true"/>
              <w:spacing w:lineRule="auto" w:line="240" w:before="0" w:after="20"/>
              <w:ind w:hanging="0"/>
              <w:rPr>
                <w:rFonts w:ascii="Times New Roman" w:hAnsi="Times New Roman" w:cs="Times New Roman"/>
                <w:i/>
                <w:i/>
                <w:sz w:val="22"/>
                <w:szCs w:val="22"/>
              </w:rPr>
            </w:pPr>
            <w:r>
              <w:rPr>
                <w:rFonts w:cs="Times New Roman" w:ascii="Times New Roman" w:hAnsi="Times New Roman"/>
                <w:i/>
                <w:kern w:val="0"/>
                <w:sz w:val="22"/>
                <w:szCs w:val="22"/>
              </w:rPr>
              <w:t>11</w:t>
            </w:r>
          </w:p>
        </w:tc>
        <w:tc>
          <w:tcPr>
            <w:tcW w:w="9359" w:type="dxa"/>
            <w:tcBorders>
              <w:top w:val="nil"/>
            </w:tcBorders>
          </w:tcPr>
          <w:p>
            <w:pPr>
              <w:pStyle w:val="Normal"/>
              <w:widowControl w:val="false"/>
              <w:shd w:val="clear" w:color="auto" w:fill="FFFFFF"/>
              <w:tabs>
                <w:tab w:val="clear" w:pos="720"/>
                <w:tab w:val="left" w:pos="120" w:leader="none"/>
              </w:tabs>
              <w:suppressAutoHyphens w:val="true"/>
              <w:spacing w:before="0" w:after="20"/>
              <w:jc w:val="left"/>
              <w:rPr>
                <w:sz w:val="22"/>
                <w:szCs w:val="22"/>
                <w:lang w:val="uk-UA"/>
              </w:rPr>
            </w:pPr>
            <w:r>
              <w:rPr>
                <w:rFonts w:eastAsia="Calibri" w:cs="Times New Roman"/>
                <w:kern w:val="0"/>
                <w:sz w:val="22"/>
                <w:szCs w:val="22"/>
                <w:lang w:val="uk-UA" w:eastAsia="en-US" w:bidi="ar-SA"/>
              </w:rPr>
              <w:t>Копія ВИТЯГУ з Єдиного державного реєстру юридичних осіб, фізичних осіб-підприємців та громадських формувань.</w:t>
            </w:r>
          </w:p>
        </w:tc>
      </w:tr>
    </w:tbl>
    <w:tbl>
      <w:tblPr>
        <w:tblW w:w="10432" w:type="dxa"/>
        <w:jc w:val="left"/>
        <w:tblInd w:w="-402" w:type="dxa"/>
        <w:tblLayout w:type="fixed"/>
        <w:tblCellMar>
          <w:top w:w="0" w:type="dxa"/>
          <w:left w:w="108" w:type="dxa"/>
          <w:bottom w:w="0" w:type="dxa"/>
          <w:right w:w="108" w:type="dxa"/>
        </w:tblCellMar>
      </w:tblPr>
      <w:tblGrid>
        <w:gridCol w:w="1073"/>
        <w:gridCol w:w="9358"/>
      </w:tblGrid>
      <w:tr>
        <w:trPr/>
        <w:tc>
          <w:tcPr>
            <w:tcW w:w="1073" w:type="dxa"/>
            <w:tcBorders>
              <w:top w:val="single" w:sz="4" w:space="0" w:color="000000"/>
              <w:left w:val="single" w:sz="4" w:space="0" w:color="000000"/>
              <w:bottom w:val="single" w:sz="4" w:space="0" w:color="000000"/>
              <w:right w:val="single" w:sz="4" w:space="0" w:color="000000"/>
            </w:tcBorders>
          </w:tcPr>
          <w:p>
            <w:pPr>
              <w:pStyle w:val="15"/>
              <w:widowControl w:val="false"/>
              <w:suppressAutoHyphens w:val="true"/>
              <w:spacing w:lineRule="auto" w:line="240" w:before="0" w:after="20"/>
              <w:ind w:left="0" w:right="0" w:hanging="0"/>
              <w:rPr>
                <w:rFonts w:ascii="Times New Roman" w:hAnsi="Times New Roman" w:cs="Times New Roman"/>
                <w:i/>
                <w:i/>
                <w:sz w:val="22"/>
                <w:szCs w:val="22"/>
                <w:shd w:fill="auto" w:val="clear"/>
              </w:rPr>
            </w:pPr>
            <w:r>
              <w:rPr>
                <w:rFonts w:cs="Times New Roman" w:ascii="Times New Roman" w:hAnsi="Times New Roman"/>
                <w:i/>
                <w:sz w:val="22"/>
                <w:szCs w:val="22"/>
                <w:shd w:fill="auto" w:val="clear"/>
              </w:rPr>
              <w:t>12</w:t>
            </w:r>
          </w:p>
        </w:tc>
        <w:tc>
          <w:tcPr>
            <w:tcW w:w="935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tabs>
                <w:tab w:val="clear" w:pos="720"/>
                <w:tab w:val="left" w:pos="120" w:leader="none"/>
              </w:tabs>
              <w:suppressAutoHyphens w:val="true"/>
              <w:spacing w:lineRule="auto" w:line="240" w:before="0" w:after="20"/>
              <w:jc w:val="both"/>
              <w:rPr>
                <w:rFonts w:cs="Times New Roman"/>
                <w:color w:val="000000"/>
                <w:sz w:val="22"/>
                <w:szCs w:val="22"/>
                <w:shd w:fill="auto" w:val="clear"/>
                <w:lang w:val="uk-UA"/>
              </w:rPr>
            </w:pPr>
            <w:r>
              <w:rPr>
                <w:rFonts w:cs="Times New Roman"/>
                <w:color w:val="000000"/>
                <w:sz w:val="22"/>
                <w:szCs w:val="22"/>
                <w:shd w:fill="auto" w:val="clear"/>
                <w:lang w:val="uk-UA"/>
              </w:rPr>
              <w:t>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 (Додаток 5).</w:t>
            </w:r>
          </w:p>
        </w:tc>
      </w:tr>
    </w:tbl>
    <w:tbl>
      <w:tblPr>
        <w:tblStyle w:val="affb"/>
        <w:tblW w:w="10433" w:type="dxa"/>
        <w:jc w:val="left"/>
        <w:tblInd w:w="-402" w:type="dxa"/>
        <w:tblLayout w:type="fixed"/>
        <w:tblCellMar>
          <w:top w:w="0" w:type="dxa"/>
          <w:left w:w="108" w:type="dxa"/>
          <w:bottom w:w="0" w:type="dxa"/>
          <w:right w:w="108" w:type="dxa"/>
        </w:tblCellMar>
        <w:tblLook w:firstRow="1" w:noVBand="1" w:lastRow="0" w:firstColumn="1" w:lastColumn="0" w:noHBand="0" w:val="04a0"/>
      </w:tblPr>
      <w:tblGrid>
        <w:gridCol w:w="1072"/>
        <w:gridCol w:w="9360"/>
      </w:tblGrid>
      <w:tr>
        <w:trPr/>
        <w:tc>
          <w:tcPr>
            <w:tcW w:w="1072" w:type="dxa"/>
            <w:tcBorders/>
          </w:tcPr>
          <w:p>
            <w:pPr>
              <w:pStyle w:val="15"/>
              <w:widowControl w:val="false"/>
              <w:suppressAutoHyphens w:val="true"/>
              <w:spacing w:lineRule="auto" w:line="240" w:before="0" w:after="20"/>
              <w:ind w:hanging="0"/>
              <w:rPr>
                <w:rFonts w:ascii="Times New Roman" w:hAnsi="Times New Roman" w:cs="Times New Roman"/>
                <w:i/>
                <w:i/>
                <w:sz w:val="22"/>
                <w:szCs w:val="22"/>
              </w:rPr>
            </w:pPr>
            <w:r>
              <w:rPr>
                <w:rFonts w:cs="Times New Roman" w:ascii="Times New Roman" w:hAnsi="Times New Roman"/>
                <w:i/>
                <w:kern w:val="0"/>
                <w:sz w:val="22"/>
                <w:szCs w:val="22"/>
              </w:rPr>
              <w:t>13</w:t>
            </w:r>
          </w:p>
        </w:tc>
        <w:tc>
          <w:tcPr>
            <w:tcW w:w="9360" w:type="dxa"/>
            <w:tcBorders/>
          </w:tcPr>
          <w:p>
            <w:pPr>
              <w:pStyle w:val="Normal"/>
              <w:widowControl w:val="false"/>
              <w:suppressAutoHyphens w:val="true"/>
              <w:spacing w:before="20" w:after="20"/>
              <w:jc w:val="both"/>
              <w:rPr>
                <w:sz w:val="22"/>
                <w:szCs w:val="22"/>
                <w:lang w:val="uk-UA"/>
              </w:rPr>
            </w:pPr>
            <w:r>
              <w:rPr>
                <w:rFonts w:eastAsia="Calibri" w:cs="Times New Roman"/>
                <w:iCs/>
                <w:kern w:val="0"/>
                <w:sz w:val="22"/>
                <w:szCs w:val="22"/>
                <w:shd w:fill="FFFFFF" w:val="clear"/>
                <w:lang w:val="uk-UA" w:eastAsia="en-US" w:bidi="ar-S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w:t>
            </w:r>
          </w:p>
          <w:p>
            <w:pPr>
              <w:pStyle w:val="Normal"/>
              <w:widowControl w:val="false"/>
              <w:suppressAutoHyphens w:val="true"/>
              <w:spacing w:before="0" w:after="0"/>
              <w:jc w:val="both"/>
              <w:rPr>
                <w:iCs/>
                <w:sz w:val="22"/>
                <w:szCs w:val="22"/>
                <w:lang w:val="uk-UA"/>
              </w:rPr>
            </w:pPr>
            <w:r>
              <w:rPr>
                <w:rFonts w:eastAsia="Calibri" w:cs="Times New Roman"/>
                <w:iCs/>
                <w:kern w:val="0"/>
                <w:sz w:val="22"/>
                <w:szCs w:val="22"/>
                <w:shd w:fill="FFFFFF" w:val="clear"/>
                <w:lang w:val="uk-UA" w:eastAsia="en-US" w:bidi="ar-SA"/>
              </w:rPr>
              <w:t>- Учасник надає довідку з інформацією про повне найменування, місцезнаходження, код ЄДРПОУ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за підписом Учасника;</w:t>
            </w:r>
          </w:p>
          <w:p>
            <w:pPr>
              <w:pStyle w:val="Normal"/>
              <w:widowControl w:val="false"/>
              <w:suppressAutoHyphens w:val="true"/>
              <w:spacing w:before="0" w:after="0"/>
              <w:jc w:val="both"/>
              <w:rPr>
                <w:iCs/>
                <w:sz w:val="22"/>
                <w:szCs w:val="22"/>
                <w:lang w:val="uk-UA"/>
              </w:rPr>
            </w:pPr>
            <w:r>
              <w:rPr>
                <w:rFonts w:eastAsia="Calibri" w:cs="Times New Roman"/>
                <w:iCs/>
                <w:kern w:val="0"/>
                <w:sz w:val="22"/>
                <w:szCs w:val="22"/>
                <w:shd w:fill="FFFFFF" w:val="clear"/>
                <w:lang w:val="uk-UA" w:eastAsia="en-US" w:bidi="ar-SA"/>
              </w:rPr>
              <w:t>- для підтвердження його відповідності кваліфікаційним критеріям відповідно до</w:t>
            </w:r>
            <w:r>
              <w:rPr>
                <w:rFonts w:eastAsia="Calibri" w:cs="Times New Roman"/>
                <w:iCs/>
                <w:kern w:val="0"/>
                <w:sz w:val="22"/>
                <w:szCs w:val="22"/>
                <w:shd w:fill="FFFFFF" w:val="clear"/>
                <w:lang w:val="ru-RU" w:eastAsia="en-US" w:bidi="ar-SA"/>
              </w:rPr>
              <w:t> </w:t>
            </w:r>
            <w:hyperlink r:id="rId7">
              <w:r>
                <w:rPr>
                  <w:rFonts w:eastAsia="Calibri" w:cs="Times New Roman"/>
                  <w:iCs/>
                  <w:color w:val="000000"/>
                  <w:kern w:val="0"/>
                  <w:sz w:val="22"/>
                  <w:szCs w:val="22"/>
                  <w:u w:val="none"/>
                  <w:shd w:fill="FFFFFF" w:val="clear"/>
                  <w:lang w:val="uk-UA" w:eastAsia="en-US" w:bidi="ar-SA"/>
                </w:rPr>
                <w:t>частини третьої</w:t>
              </w:r>
            </w:hyperlink>
            <w:r>
              <w:rPr>
                <w:rFonts w:eastAsia="Calibri" w:cs="Times New Roman"/>
                <w:iCs/>
                <w:kern w:val="0"/>
                <w:sz w:val="22"/>
                <w:szCs w:val="22"/>
                <w:shd w:fill="FFFFFF" w:val="clear"/>
                <w:lang w:val="ru-RU" w:eastAsia="en-US" w:bidi="ar-SA"/>
              </w:rPr>
              <w:t> </w:t>
            </w:r>
            <w:r>
              <w:rPr>
                <w:rFonts w:eastAsia="Calibri" w:cs="Times New Roman"/>
                <w:iCs/>
                <w:kern w:val="0"/>
                <w:sz w:val="22"/>
                <w:szCs w:val="22"/>
                <w:shd w:fill="FFFFFF" w:val="clear"/>
                <w:lang w:val="uk-UA" w:eastAsia="en-US" w:bidi="ar-SA"/>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Pr>
                <w:rFonts w:eastAsia="Calibri" w:cs="Times New Roman"/>
                <w:iCs/>
                <w:kern w:val="0"/>
                <w:sz w:val="22"/>
                <w:szCs w:val="22"/>
                <w:shd w:fill="FFFFFF" w:val="clear"/>
                <w:lang w:val="ru-RU" w:eastAsia="en-US" w:bidi="ar-SA"/>
              </w:rPr>
              <w:t> </w:t>
            </w:r>
            <w:hyperlink r:id="rId8">
              <w:r>
                <w:rPr>
                  <w:rFonts w:eastAsia="Calibri" w:cs="Times New Roman"/>
                  <w:iCs/>
                  <w:color w:val="000000"/>
                  <w:kern w:val="0"/>
                  <w:sz w:val="22"/>
                  <w:szCs w:val="22"/>
                  <w:u w:val="none"/>
                  <w:shd w:fill="FFFFFF" w:val="clear"/>
                  <w:lang w:val="uk-UA" w:eastAsia="en-US" w:bidi="ar-SA"/>
                </w:rPr>
                <w:t>частині першій</w:t>
              </w:r>
            </w:hyperlink>
            <w:r>
              <w:rPr>
                <w:rFonts w:eastAsia="Calibri" w:cs="Times New Roman"/>
                <w:iCs/>
                <w:kern w:val="0"/>
                <w:sz w:val="22"/>
                <w:szCs w:val="22"/>
                <w:shd w:fill="FFFFFF" w:val="clear"/>
                <w:lang w:val="ru-RU" w:eastAsia="en-US" w:bidi="ar-SA"/>
              </w:rPr>
              <w:t> </w:t>
            </w:r>
            <w:r>
              <w:rPr>
                <w:rFonts w:eastAsia="Calibri" w:cs="Times New Roman"/>
                <w:iCs/>
                <w:kern w:val="0"/>
                <w:sz w:val="22"/>
                <w:szCs w:val="22"/>
                <w:shd w:fill="FFFFFF" w:val="clear"/>
                <w:lang w:val="uk-UA" w:eastAsia="en-US" w:bidi="ar-SA"/>
              </w:rPr>
              <w:t>статті 17 Закону (крім</w:t>
            </w:r>
            <w:r>
              <w:rPr>
                <w:rFonts w:eastAsia="Calibri" w:cs="Times New Roman"/>
                <w:iCs/>
                <w:kern w:val="0"/>
                <w:sz w:val="22"/>
                <w:szCs w:val="22"/>
                <w:shd w:fill="FFFFFF" w:val="clear"/>
                <w:lang w:val="ru-RU" w:eastAsia="en-US" w:bidi="ar-SA"/>
              </w:rPr>
              <w:t> </w:t>
            </w:r>
            <w:hyperlink r:id="rId9">
              <w:r>
                <w:rPr>
                  <w:rFonts w:eastAsia="Calibri" w:cs="Times New Roman"/>
                  <w:iCs/>
                  <w:color w:val="000000"/>
                  <w:kern w:val="0"/>
                  <w:sz w:val="22"/>
                  <w:szCs w:val="22"/>
                  <w:u w:val="none"/>
                  <w:shd w:fill="FFFFFF" w:val="clear"/>
                  <w:lang w:val="uk-UA" w:eastAsia="en-US" w:bidi="ar-SA"/>
                </w:rPr>
                <w:t>пункту 13</w:t>
              </w:r>
            </w:hyperlink>
            <w:r>
              <w:rPr>
                <w:rFonts w:eastAsia="Calibri" w:cs="Times New Roman"/>
                <w:iCs/>
                <w:kern w:val="0"/>
                <w:sz w:val="22"/>
                <w:szCs w:val="22"/>
                <w:shd w:fill="FFFFFF" w:val="clear"/>
                <w:lang w:val="ru-RU" w:eastAsia="en-US" w:bidi="ar-SA"/>
              </w:rPr>
              <w:t> </w:t>
            </w:r>
            <w:r>
              <w:rPr>
                <w:rFonts w:eastAsia="Calibri" w:cs="Times New Roman"/>
                <w:iCs/>
                <w:kern w:val="0"/>
                <w:sz w:val="22"/>
                <w:szCs w:val="22"/>
                <w:shd w:fill="FFFFFF" w:val="clear"/>
                <w:lang w:val="uk-UA" w:eastAsia="en-US" w:bidi="ar-SA"/>
              </w:rPr>
              <w:t>частини першої статті 17 Закону).</w:t>
            </w:r>
          </w:p>
        </w:tc>
      </w:tr>
    </w:tbl>
    <w:p>
      <w:pPr>
        <w:pStyle w:val="Style31"/>
        <w:rPr>
          <w:sz w:val="16"/>
          <w:szCs w:val="16"/>
          <w:lang w:val="uk-UA"/>
        </w:rPr>
      </w:pPr>
      <w:r>
        <w:rPr>
          <w:rFonts w:ascii="Times New Roman" w:hAnsi="Times New Roman"/>
          <w:b/>
          <w:i/>
          <w:sz w:val="16"/>
          <w:szCs w:val="16"/>
          <w:lang w:val="uk-UA"/>
        </w:rPr>
        <w:t>Довідки та інші документи, які вимагаються тендерною документацією повинні бути чинними на дату розкриття тендерних пропозицій.</w:t>
      </w:r>
    </w:p>
    <w:p>
      <w:pPr>
        <w:pStyle w:val="Normal"/>
        <w:jc w:val="both"/>
        <w:rPr>
          <w:sz w:val="16"/>
          <w:szCs w:val="16"/>
          <w:lang w:val="uk-UA"/>
        </w:rPr>
      </w:pPr>
      <w:r>
        <w:rPr>
          <w:b/>
          <w:sz w:val="16"/>
          <w:szCs w:val="16"/>
          <w:lang w:val="uk-UA"/>
        </w:rPr>
        <w:t>Примітки:</w:t>
      </w:r>
    </w:p>
    <w:p>
      <w:pPr>
        <w:pStyle w:val="Normal"/>
        <w:tabs>
          <w:tab w:val="clear" w:pos="720"/>
          <w:tab w:val="left" w:pos="0" w:leader="none"/>
        </w:tabs>
        <w:jc w:val="both"/>
        <w:rPr>
          <w:sz w:val="16"/>
          <w:szCs w:val="16"/>
          <w:lang w:val="uk-UA"/>
        </w:rPr>
      </w:pPr>
      <w:r>
        <w:rPr>
          <w:i/>
          <w:sz w:val="16"/>
          <w:szCs w:val="16"/>
          <w:lang w:val="uk-UA"/>
        </w:rPr>
        <w:t>1) учасники-нерезиденти України повинні надавати документи або копії документів з перекладом українською, виконане бюро перекладів або з перекладом на українську мову з нотаріальним засвідченням підпису перекладача. Листи та довідки довільної форми складені українською мовою не потребують перекладу.</w:t>
      </w:r>
    </w:p>
    <w:p>
      <w:pPr>
        <w:pStyle w:val="Normal"/>
        <w:tabs>
          <w:tab w:val="clear" w:pos="720"/>
          <w:tab w:val="left" w:pos="0" w:leader="none"/>
        </w:tabs>
        <w:jc w:val="both"/>
        <w:rPr>
          <w:sz w:val="16"/>
          <w:szCs w:val="16"/>
          <w:lang w:val="uk-UA"/>
        </w:rPr>
      </w:pPr>
      <w:r>
        <w:rPr>
          <w:i/>
          <w:sz w:val="16"/>
          <w:szCs w:val="16"/>
          <w:lang w:val="uk-UA"/>
        </w:rPr>
        <w:t>Документи учасників-нерезидентів України, які повинні легалізуватись, легалізуються ними наступним чином:</w:t>
      </w:r>
    </w:p>
    <w:p>
      <w:pPr>
        <w:pStyle w:val="Normal"/>
        <w:tabs>
          <w:tab w:val="clear" w:pos="720"/>
          <w:tab w:val="left" w:pos="0" w:leader="none"/>
        </w:tabs>
        <w:jc w:val="both"/>
        <w:rPr>
          <w:sz w:val="16"/>
          <w:szCs w:val="16"/>
          <w:lang w:val="uk-UA"/>
        </w:rPr>
      </w:pPr>
      <w:r>
        <w:rPr>
          <w:i/>
          <w:sz w:val="16"/>
          <w:szCs w:val="16"/>
          <w:lang w:val="uk-UA"/>
        </w:rPr>
        <w:t>-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pPr>
        <w:pStyle w:val="Normal"/>
        <w:tabs>
          <w:tab w:val="clear" w:pos="720"/>
          <w:tab w:val="left" w:pos="0" w:leader="none"/>
        </w:tabs>
        <w:jc w:val="both"/>
        <w:rPr>
          <w:sz w:val="16"/>
          <w:szCs w:val="16"/>
          <w:lang w:val="uk-UA"/>
        </w:rPr>
      </w:pPr>
      <w:r>
        <w:rPr>
          <w:i/>
          <w:sz w:val="16"/>
          <w:szCs w:val="16"/>
          <w:lang w:val="uk-UA"/>
        </w:rPr>
        <w:t xml:space="preserve">   </w:t>
      </w:r>
      <w:r>
        <w:rPr>
          <w:i/>
          <w:sz w:val="16"/>
          <w:szCs w:val="16"/>
          <w:lang w:val="uk-UA"/>
        </w:rPr>
        <w:t>або</w:t>
      </w:r>
    </w:p>
    <w:p>
      <w:pPr>
        <w:pStyle w:val="Normal"/>
        <w:tabs>
          <w:tab w:val="clear" w:pos="720"/>
          <w:tab w:val="left" w:pos="0" w:leader="none"/>
        </w:tabs>
        <w:jc w:val="both"/>
        <w:rPr>
          <w:sz w:val="16"/>
          <w:szCs w:val="16"/>
          <w:lang w:val="uk-UA"/>
        </w:rPr>
      </w:pPr>
      <w:r>
        <w:rPr>
          <w:i/>
          <w:sz w:val="16"/>
          <w:szCs w:val="16"/>
          <w:lang w:val="uk-UA"/>
        </w:rPr>
        <w:t>-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pPr>
        <w:pStyle w:val="Normal"/>
        <w:tabs>
          <w:tab w:val="clear" w:pos="720"/>
          <w:tab w:val="left" w:pos="0" w:leader="none"/>
        </w:tabs>
        <w:jc w:val="both"/>
        <w:rPr>
          <w:sz w:val="16"/>
          <w:szCs w:val="16"/>
          <w:lang w:val="uk-UA"/>
        </w:rPr>
      </w:pPr>
      <w:r>
        <w:rPr>
          <w:i/>
          <w:sz w:val="16"/>
          <w:szCs w:val="16"/>
          <w:lang w:val="uk-UA"/>
        </w:rPr>
        <w:t xml:space="preserve">   </w:t>
      </w:r>
      <w:r>
        <w:rPr>
          <w:i/>
          <w:sz w:val="16"/>
          <w:szCs w:val="16"/>
          <w:lang w:val="uk-UA"/>
        </w:rPr>
        <w:t>або</w:t>
      </w:r>
    </w:p>
    <w:p>
      <w:pPr>
        <w:pStyle w:val="Normal"/>
        <w:tabs>
          <w:tab w:val="clear" w:pos="720"/>
          <w:tab w:val="left" w:pos="0" w:leader="none"/>
        </w:tabs>
        <w:jc w:val="both"/>
        <w:rPr>
          <w:sz w:val="16"/>
          <w:szCs w:val="16"/>
          <w:lang w:val="uk-UA"/>
        </w:rPr>
      </w:pPr>
      <w:r>
        <w:rPr>
          <w:i/>
          <w:sz w:val="16"/>
          <w:szCs w:val="16"/>
          <w:lang w:val="uk-UA"/>
        </w:rPr>
        <w:t>-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(у разі її використання),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p>
      <w:pPr>
        <w:pStyle w:val="Normal"/>
        <w:tabs>
          <w:tab w:val="clear" w:pos="720"/>
          <w:tab w:val="left" w:pos="0" w:leader="none"/>
        </w:tabs>
        <w:jc w:val="both"/>
        <w:rPr>
          <w:lang w:val="uk-UA"/>
        </w:rPr>
      </w:pPr>
      <w:r>
        <w:rPr>
          <w:b/>
          <w:bCs/>
          <w:i/>
          <w:sz w:val="16"/>
          <w:szCs w:val="16"/>
          <w:lang w:val="uk-UA"/>
        </w:rPr>
        <w:t>2) у</w:t>
      </w:r>
      <w:r>
        <w:rPr>
          <w:rStyle w:val="Rvts0"/>
          <w:rFonts w:eastAsia="" w:eastAsiaTheme="majorEastAsia"/>
          <w:b/>
          <w:i/>
          <w:sz w:val="16"/>
          <w:szCs w:val="16"/>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jc w:val="right"/>
        <w:rPr>
          <w:sz w:val="16"/>
          <w:szCs w:val="16"/>
          <w:lang w:val="uk-UA"/>
        </w:rPr>
      </w:pPr>
      <w:r>
        <w:rPr>
          <w:sz w:val="16"/>
          <w:szCs w:val="16"/>
          <w:lang w:val="uk-UA"/>
        </w:rPr>
      </w:r>
    </w:p>
    <w:p>
      <w:pPr>
        <w:pStyle w:val="15"/>
        <w:jc w:val="center"/>
        <w:rPr>
          <w:rFonts w:ascii="Times New Roman" w:hAnsi="Times New Roman" w:cs="Times New Roman"/>
          <w:b/>
          <w:b/>
          <w:sz w:val="22"/>
          <w:szCs w:val="22"/>
        </w:rPr>
      </w:pPr>
      <w:r>
        <w:rPr>
          <w:rFonts w:cs="Times New Roman" w:ascii="Times New Roman" w:hAnsi="Times New Roman"/>
          <w:b/>
          <w:sz w:val="22"/>
          <w:szCs w:val="22"/>
        </w:rPr>
      </w:r>
    </w:p>
    <w:p>
      <w:pPr>
        <w:pStyle w:val="15"/>
        <w:jc w:val="center"/>
        <w:rPr/>
      </w:pPr>
      <w:r>
        <w:rPr>
          <w:rFonts w:cs="Times New Roman" w:ascii="Times New Roman" w:hAnsi="Times New Roman"/>
          <w:b/>
          <w:sz w:val="22"/>
          <w:szCs w:val="22"/>
        </w:rPr>
        <w:t xml:space="preserve">3. Інформація, що  вимагається Замовником для завантаження учасником-Переможцем протягом 4 днів </w:t>
      </w:r>
      <w:r>
        <w:rPr>
          <w:rFonts w:cs="Times New Roman" w:ascii="Times New Roman" w:hAnsi="Times New Roman"/>
          <w:b/>
          <w:color w:val="000000"/>
          <w:sz w:val="22"/>
          <w:szCs w:val="22"/>
        </w:rPr>
        <w:t>з дати оприлюднення в електронній системі закупівель повідомлення про намір укласти договір про закупівлю</w:t>
      </w:r>
      <w:r>
        <w:rPr>
          <w:rFonts w:cs="Times New Roman" w:ascii="Times New Roman" w:hAnsi="Times New Roman"/>
          <w:b/>
          <w:sz w:val="22"/>
          <w:szCs w:val="22"/>
        </w:rPr>
        <w:t xml:space="preserve"> </w:t>
      </w:r>
    </w:p>
    <w:p>
      <w:pPr>
        <w:pStyle w:val="15"/>
        <w:rPr>
          <w:rFonts w:ascii="Times New Roman" w:hAnsi="Times New Roman" w:cs="Times New Roman"/>
          <w:i/>
          <w:i/>
          <w:sz w:val="22"/>
          <w:szCs w:val="22"/>
        </w:rPr>
      </w:pPr>
      <w:r>
        <w:rPr>
          <w:rFonts w:cs="Times New Roman" w:ascii="Times New Roman" w:hAnsi="Times New Roman"/>
          <w:i/>
          <w:sz w:val="22"/>
          <w:szCs w:val="22"/>
        </w:rPr>
      </w:r>
    </w:p>
    <w:tbl>
      <w:tblPr>
        <w:tblStyle w:val="affb"/>
        <w:tblW w:w="10433" w:type="dxa"/>
        <w:jc w:val="left"/>
        <w:tblInd w:w="-402" w:type="dxa"/>
        <w:tblLayout w:type="fixed"/>
        <w:tblCellMar>
          <w:top w:w="0" w:type="dxa"/>
          <w:left w:w="108" w:type="dxa"/>
          <w:bottom w:w="0" w:type="dxa"/>
          <w:right w:w="108" w:type="dxa"/>
        </w:tblCellMar>
        <w:tblLook w:firstRow="1" w:noVBand="1" w:lastRow="0" w:firstColumn="1" w:lastColumn="0" w:noHBand="0" w:val="04a0"/>
      </w:tblPr>
      <w:tblGrid>
        <w:gridCol w:w="1073"/>
        <w:gridCol w:w="9359"/>
      </w:tblGrid>
      <w:tr>
        <w:trPr/>
        <w:tc>
          <w:tcPr>
            <w:tcW w:w="10432" w:type="dxa"/>
            <w:gridSpan w:val="2"/>
            <w:tcBorders/>
          </w:tcPr>
          <w:p>
            <w:pPr>
              <w:pStyle w:val="15"/>
              <w:widowControl w:val="false"/>
              <w:suppressAutoHyphens w:val="true"/>
              <w:spacing w:before="0" w:after="20"/>
              <w:jc w:val="center"/>
              <w:rPr>
                <w:rFonts w:ascii="Times New Roman" w:hAnsi="Times New Roman" w:cs="Times New Roman"/>
                <w:b/>
                <w:b/>
                <w:sz w:val="22"/>
                <w:szCs w:val="22"/>
              </w:rPr>
            </w:pPr>
            <w:r>
              <w:rPr>
                <w:rFonts w:cs="Times New Roman" w:ascii="Times New Roman" w:hAnsi="Times New Roman"/>
                <w:b/>
                <w:kern w:val="0"/>
                <w:sz w:val="22"/>
                <w:szCs w:val="22"/>
                <w:lang w:bidi="ar-SA"/>
              </w:rPr>
              <w:t xml:space="preserve">Інші документи від </w:t>
            </w:r>
            <w:r>
              <w:rPr>
                <w:rFonts w:eastAsia="Times New Roman" w:cs="Times New Roman" w:ascii="Times New Roman" w:hAnsi="Times New Roman"/>
                <w:b/>
                <w:color w:val="auto"/>
                <w:kern w:val="0"/>
                <w:sz w:val="22"/>
                <w:szCs w:val="22"/>
                <w:lang w:val="uk-UA" w:eastAsia="ru-RU" w:bidi="ar-SA"/>
              </w:rPr>
              <w:t>Переможця</w:t>
            </w:r>
            <w:r>
              <w:rPr>
                <w:rFonts w:cs="Times New Roman" w:ascii="Times New Roman" w:hAnsi="Times New Roman"/>
                <w:b/>
                <w:kern w:val="0"/>
                <w:sz w:val="22"/>
                <w:szCs w:val="22"/>
                <w:lang w:bidi="ar-SA"/>
              </w:rPr>
              <w:t>:</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1</w:t>
            </w:r>
          </w:p>
        </w:tc>
        <w:tc>
          <w:tcPr>
            <w:tcW w:w="9359" w:type="dxa"/>
            <w:tcBorders/>
          </w:tcPr>
          <w:p>
            <w:pPr>
              <w:pStyle w:val="Rvps2"/>
              <w:widowControl w:val="false"/>
              <w:shd w:val="clear" w:color="auto" w:fill="FFFFFF"/>
              <w:tabs>
                <w:tab w:val="clear" w:pos="720"/>
                <w:tab w:val="left" w:pos="567" w:leader="none"/>
                <w:tab w:val="left" w:pos="709" w:leader="none"/>
                <w:tab w:val="left" w:pos="851" w:leader="none"/>
                <w:tab w:val="left" w:pos="1134" w:leader="none"/>
              </w:tabs>
              <w:suppressAutoHyphens w:val="true"/>
              <w:spacing w:lineRule="auto" w:line="240" w:beforeAutospacing="0" w:before="0" w:afterAutospacing="0" w:after="0"/>
              <w:ind w:hanging="0"/>
              <w:jc w:val="both"/>
              <w:rPr>
                <w:szCs w:val="28"/>
              </w:rPr>
            </w:pPr>
            <w:r>
              <w:rPr>
                <w:rFonts w:cs="Times New Roman" w:ascii="Times New Roman" w:hAnsi="Times New Roman"/>
                <w:kern w:val="0"/>
                <w:sz w:val="22"/>
                <w:szCs w:val="22"/>
                <w:lang w:bidi="ar-SA"/>
              </w:rPr>
              <w:t>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tc>
      </w:tr>
      <w:tr>
        <w:trPr/>
        <w:tc>
          <w:tcPr>
            <w:tcW w:w="1073" w:type="dxa"/>
            <w:tcBorders/>
          </w:tcPr>
          <w:p>
            <w:pPr>
              <w:pStyle w:val="15"/>
              <w:widowControl w:val="false"/>
              <w:suppressAutoHyphens w:val="true"/>
              <w:spacing w:lineRule="auto" w:line="240" w:before="0" w:after="0"/>
              <w:ind w:hanging="0"/>
              <w:jc w:val="left"/>
              <w:rPr>
                <w:rFonts w:ascii="Times New Roman" w:hAnsi="Times New Roman" w:cs="Times New Roman"/>
                <w:i/>
                <w:i/>
                <w:sz w:val="22"/>
                <w:szCs w:val="22"/>
              </w:rPr>
            </w:pPr>
            <w:r>
              <w:rPr>
                <w:rFonts w:cs="Times New Roman" w:ascii="Times New Roman" w:hAnsi="Times New Roman"/>
                <w:i/>
                <w:kern w:val="0"/>
                <w:sz w:val="22"/>
                <w:szCs w:val="22"/>
                <w:lang w:bidi="ar-SA"/>
              </w:rPr>
              <w:t>2</w:t>
            </w:r>
          </w:p>
        </w:tc>
        <w:tc>
          <w:tcPr>
            <w:tcW w:w="9359" w:type="dxa"/>
            <w:tcBorders/>
          </w:tcPr>
          <w:p>
            <w:pPr>
              <w:pStyle w:val="Normal"/>
              <w:widowControl w:val="false"/>
              <w:tabs>
                <w:tab w:val="clear" w:pos="720"/>
                <w:tab w:val="left" w:pos="1080" w:leader="none"/>
              </w:tabs>
              <w:suppressAutoHyphens w:val="true"/>
              <w:spacing w:lineRule="auto" w:line="240" w:before="0" w:after="20"/>
              <w:jc w:val="both"/>
              <w:rPr>
                <w:sz w:val="22"/>
                <w:szCs w:val="22"/>
                <w:lang w:val="uk-UA"/>
              </w:rPr>
            </w:pPr>
            <w:r>
              <w:rPr>
                <w:rFonts w:eastAsia="Calibri" w:cs="Times New Roman"/>
                <w:kern w:val="0"/>
                <w:sz w:val="22"/>
                <w:szCs w:val="22"/>
                <w:lang w:val="uk-UA" w:eastAsia="en-US" w:bidi="ar-S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pPr>
        <w:pStyle w:val="Style31"/>
        <w:jc w:val="center"/>
        <w:rPr>
          <w:sz w:val="16"/>
          <w:szCs w:val="16"/>
          <w:lang w:val="uk-UA"/>
        </w:rPr>
      </w:pPr>
      <w:r>
        <w:rPr>
          <w:sz w:val="16"/>
          <w:szCs w:val="16"/>
          <w:lang w:val="uk-UA"/>
        </w:rPr>
      </w:r>
    </w:p>
    <w:p>
      <w:pPr>
        <w:pStyle w:val="15"/>
        <w:jc w:val="center"/>
        <w:rPr/>
      </w:pPr>
      <w:r>
        <w:rPr>
          <w:rFonts w:cs="Times New Roman" w:ascii="Times New Roman" w:hAnsi="Times New Roman"/>
          <w:b/>
          <w:sz w:val="22"/>
          <w:szCs w:val="22"/>
        </w:rPr>
        <w:t xml:space="preserve">4. </w:t>
      </w:r>
      <w:r>
        <w:rPr>
          <w:rFonts w:cs="Times New Roman" w:ascii="Times New Roman" w:hAnsi="Times New Roman"/>
          <w:b/>
          <w:color w:val="000000"/>
          <w:szCs w:val="22"/>
          <w:u w:val="single"/>
        </w:rPr>
        <w:t>Інформація щодо відповідності учасника вимогам, визначених у частинах першій і другій статті 17 Закону України «Про публічні закупівлі»</w:t>
      </w:r>
    </w:p>
    <w:p>
      <w:pPr>
        <w:pStyle w:val="Style20"/>
        <w:jc w:val="left"/>
        <w:rPr/>
      </w:pPr>
      <w:r>
        <w:rPr/>
      </w:r>
    </w:p>
    <w:tbl>
      <w:tblPr>
        <w:tblW w:w="10744" w:type="dxa"/>
        <w:jc w:val="left"/>
        <w:tblInd w:w="-376" w:type="dxa"/>
        <w:tblLayout w:type="fixed"/>
        <w:tblCellMar>
          <w:top w:w="28" w:type="dxa"/>
          <w:left w:w="113" w:type="dxa"/>
          <w:bottom w:w="28" w:type="dxa"/>
          <w:right w:w="113" w:type="dxa"/>
        </w:tblCellMar>
        <w:tblLook w:firstRow="1" w:noVBand="1" w:lastRow="0" w:firstColumn="1" w:lastColumn="0" w:noHBand="0" w:val="04a0"/>
      </w:tblPr>
      <w:tblGrid>
        <w:gridCol w:w="844"/>
        <w:gridCol w:w="2816"/>
        <w:gridCol w:w="1300"/>
        <w:gridCol w:w="2599"/>
        <w:gridCol w:w="3185"/>
      </w:tblGrid>
      <w:tr>
        <w:trPr>
          <w:tblHeader w:val="true"/>
        </w:trPr>
        <w:tc>
          <w:tcPr>
            <w:tcW w:w="844" w:type="dxa"/>
            <w:tcBorders>
              <w:top w:val="single" w:sz="4" w:space="0" w:color="000000"/>
              <w:left w:val="single" w:sz="4" w:space="0" w:color="000000"/>
              <w:bottom w:val="single" w:sz="4" w:space="0" w:color="000000"/>
            </w:tcBorders>
            <w:vAlign w:val="center"/>
          </w:tcPr>
          <w:p>
            <w:pPr>
              <w:pStyle w:val="Style37"/>
              <w:widowControl w:val="false"/>
              <w:rPr>
                <w:sz w:val="22"/>
                <w:szCs w:val="22"/>
              </w:rPr>
            </w:pPr>
            <w:r>
              <w:rPr>
                <w:color w:val="000000"/>
                <w:sz w:val="22"/>
                <w:szCs w:val="22"/>
                <w:lang w:val="uk-UA"/>
              </w:rPr>
              <w:t>№</w:t>
            </w:r>
            <w:r>
              <w:rPr>
                <w:rFonts w:eastAsia="Liberation Serif;Times New Roma" w:cs="Liberation Serif;Times New Roma"/>
                <w:color w:val="000000"/>
                <w:sz w:val="22"/>
                <w:szCs w:val="22"/>
                <w:lang w:val="uk-UA"/>
              </w:rPr>
              <w:t xml:space="preserve"> </w:t>
            </w:r>
            <w:r>
              <w:rPr>
                <w:color w:val="000000"/>
                <w:sz w:val="22"/>
                <w:szCs w:val="22"/>
                <w:lang w:val="uk-UA"/>
              </w:rPr>
              <w:t>з/п</w:t>
            </w:r>
          </w:p>
        </w:tc>
        <w:tc>
          <w:tcPr>
            <w:tcW w:w="2816" w:type="dxa"/>
            <w:tcBorders>
              <w:top w:val="single" w:sz="4" w:space="0" w:color="000000"/>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Підстава для відмови в участі</w:t>
              <w:br/>
              <w:t>у процедурі закупівлі</w:t>
            </w:r>
          </w:p>
        </w:tc>
        <w:tc>
          <w:tcPr>
            <w:tcW w:w="1300" w:type="dxa"/>
            <w:tcBorders>
              <w:top w:val="single" w:sz="4" w:space="0" w:color="000000"/>
              <w:left w:val="single" w:sz="4" w:space="0" w:color="000000"/>
              <w:bottom w:val="single" w:sz="4" w:space="0" w:color="000000"/>
            </w:tcBorders>
            <w:vAlign w:val="center"/>
          </w:tcPr>
          <w:p>
            <w:pPr>
              <w:pStyle w:val="Style37"/>
              <w:widowControl w:val="false"/>
              <w:ind w:left="113" w:right="113" w:hanging="0"/>
              <w:rPr>
                <w:i/>
                <w:i/>
                <w:color w:val="000000"/>
                <w:sz w:val="22"/>
                <w:szCs w:val="22"/>
                <w:lang w:val="uk-UA"/>
              </w:rPr>
            </w:pPr>
            <w:r>
              <w:rPr>
                <w:i/>
                <w:color w:val="000000"/>
                <w:sz w:val="22"/>
                <w:szCs w:val="22"/>
                <w:lang w:val="uk-UA"/>
              </w:rPr>
              <w:t>Норма Закону</w:t>
            </w:r>
          </w:p>
        </w:tc>
        <w:tc>
          <w:tcPr>
            <w:tcW w:w="2599" w:type="dxa"/>
            <w:tcBorders>
              <w:top w:val="single" w:sz="4" w:space="0" w:color="000000"/>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Спосіб документального підтвердження учасником</w:t>
            </w:r>
          </w:p>
        </w:tc>
        <w:tc>
          <w:tcPr>
            <w:tcW w:w="3185" w:type="dxa"/>
            <w:tcBorders>
              <w:top w:val="single" w:sz="4" w:space="0" w:color="000000"/>
              <w:left w:val="single" w:sz="4" w:space="0" w:color="000000"/>
              <w:bottom w:val="single" w:sz="4" w:space="0" w:color="000000"/>
              <w:right w:val="single" w:sz="4" w:space="0" w:color="000000"/>
            </w:tcBorders>
            <w:vAlign w:val="center"/>
          </w:tcPr>
          <w:p>
            <w:pPr>
              <w:pStyle w:val="Style37"/>
              <w:widowControl w:val="false"/>
              <w:rPr>
                <w:color w:val="000000"/>
                <w:sz w:val="22"/>
                <w:szCs w:val="22"/>
                <w:lang w:val="uk-UA"/>
              </w:rPr>
            </w:pPr>
            <w:r>
              <w:rPr>
                <w:color w:val="000000"/>
                <w:sz w:val="22"/>
                <w:szCs w:val="22"/>
                <w:lang w:val="uk-UA"/>
              </w:rPr>
              <w:t>Спосіб документального підтвердження переможцем</w:t>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5" w:name="docs-internal-guid-89febb90-7fff-91ec-21"/>
            <w:bookmarkEnd w:id="5"/>
            <w:r>
              <w:rPr>
                <w:rFonts w:cs="Times New Roman" w:ascii="Times New Roman" w:hAnsi="Times New Roman"/>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6" w:name="docs-internal-guid-0da92630-7fff-d1ef-1b"/>
            <w:bookmarkEnd w:id="6"/>
            <w:r>
              <w:rPr>
                <w:b/>
                <w:color w:val="000000"/>
                <w:sz w:val="22"/>
                <w:szCs w:val="22"/>
                <w:lang w:val="uk-UA"/>
              </w:rPr>
              <w:t>п.1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7" w:name="docs-internal-guid-8415fde2-7fff-31e8-3b"/>
            <w:bookmarkEnd w:id="7"/>
            <w:r>
              <w:rPr>
                <w:rFonts w:cs="Times New Roman" w:ascii="Times New Roman" w:hAnsi="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8" w:name="docs-internal-guid-990006fc-7fff-6401-b2"/>
            <w:bookmarkEnd w:id="8"/>
            <w:r>
              <w:rPr>
                <w:rFonts w:cs="Times New Roman" w:ascii="Times New Roman" w:hAnsi="Times New Roman"/>
                <w:color w:val="242424"/>
                <w:sz w:val="22"/>
                <w:szCs w:val="22"/>
              </w:rPr>
              <w:t>Підтвердження не вимагається</w:t>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2.</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9" w:name="docs-internal-guid-657df08f-7fff-32d3-f7"/>
            <w:bookmarkEnd w:id="9"/>
            <w:r>
              <w:rPr>
                <w:rFonts w:cs="Times New Roman" w:ascii="Times New Roman" w:hAnsi="Times New Roman"/>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10" w:name="docs-internal-guid-c7574b7f-7fff-9e22-57"/>
            <w:bookmarkEnd w:id="10"/>
            <w:r>
              <w:rPr>
                <w:b/>
                <w:color w:val="000000"/>
                <w:sz w:val="22"/>
                <w:szCs w:val="22"/>
                <w:lang w:val="uk-UA"/>
              </w:rPr>
              <w:t>п.2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11" w:name="docs-internal-guid-8c1d71ed-7fff-c11b-5e"/>
            <w:bookmarkEnd w:id="11"/>
            <w:r>
              <w:rPr>
                <w:rFonts w:cs="Times New Roman" w:ascii="Times New Roman" w:hAnsi="Times New Roman"/>
                <w:color w:val="000000"/>
                <w:sz w:val="22"/>
                <w:szCs w:val="22"/>
              </w:rPr>
              <w:t>Інформація в довільній формі про те, що 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12" w:name="docs-internal-guid-79282b5d-7fff-13b8-9a"/>
            <w:bookmarkEnd w:id="12"/>
            <w:r>
              <w:rPr>
                <w:rFonts w:cs="Times New Roman" w:ascii="Times New Roman" w:hAnsi="Times New Roman"/>
                <w:color w:val="000000"/>
                <w:sz w:val="22"/>
                <w:szCs w:val="22"/>
              </w:rPr>
              <w:t>Переможець надає довідку в довільній формі, замовник перевіряє інформацію самостійно.</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t>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w:t>
            </w:r>
          </w:p>
          <w:p>
            <w:pPr>
              <w:pStyle w:val="1"/>
              <w:widowControl w:val="false"/>
              <w:spacing w:lineRule="auto" w:line="240" w:before="0" w:after="0"/>
              <w:ind w:hanging="3"/>
              <w:jc w:val="left"/>
              <w:rPr/>
            </w:pPr>
            <w:hyperlink r:id="rId10">
              <w:r>
                <w:rPr>
                  <w:rFonts w:cs="Times New Roman" w:ascii="Times New Roman" w:hAnsi="Times New Roman"/>
                  <w:b w:val="false"/>
                  <w:color w:val="000000"/>
                  <w:sz w:val="22"/>
                  <w:szCs w:val="22"/>
                </w:rPr>
                <w:t>https://corruptinfo.nazk.gov.ua/reference/getpersonalreference/legal</w:t>
              </w:r>
            </w:hyperlink>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3.</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13" w:name="docs-internal-guid-43be18f1-7fff-88bc-f5"/>
            <w:bookmarkEnd w:id="13"/>
            <w:r>
              <w:rPr>
                <w:rFonts w:cs="Times New Roman" w:ascii="Times New Roman" w:hAnsi="Times New Roman"/>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14" w:name="docs-internal-guid-ef6bbadf-7fff-b1a8-20"/>
            <w:bookmarkEnd w:id="14"/>
            <w:r>
              <w:rPr>
                <w:b/>
                <w:color w:val="000000"/>
                <w:sz w:val="22"/>
                <w:szCs w:val="22"/>
                <w:lang w:val="uk-UA"/>
              </w:rPr>
              <w:t>п.3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15" w:name="docs-internal-guid-0acd3891-7fff-1fea-dc"/>
            <w:bookmarkEnd w:id="15"/>
            <w:r>
              <w:rPr>
                <w:rFonts w:cs="Times New Roman" w:ascii="Times New Roman" w:hAnsi="Times New Roman"/>
                <w:color w:val="000000"/>
                <w:sz w:val="22"/>
                <w:szCs w:val="22"/>
              </w:rPr>
              <w:t>Інформація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16" w:name="docs-internal-guid-c5d28abc-7fff-3d41-f1"/>
            <w:bookmarkEnd w:id="16"/>
            <w:r>
              <w:rPr>
                <w:rFonts w:cs="Times New Roman" w:ascii="Times New Roman" w:hAnsi="Times New Roman"/>
                <w:color w:val="000000"/>
                <w:sz w:val="22"/>
                <w:szCs w:val="22"/>
              </w:rPr>
              <w:t>Переможець надає довідку в довільній формі, замовник перевіряє інформацію самостійно.</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0" w:after="160"/>
              <w:ind w:hanging="2"/>
              <w:jc w:val="left"/>
              <w:rPr>
                <w:rFonts w:ascii="Times New Roman" w:hAnsi="Times New Roman"/>
                <w:color w:val="000000"/>
                <w:sz w:val="22"/>
                <w:szCs w:val="22"/>
              </w:rPr>
            </w:pPr>
            <w:r>
              <w:rPr>
                <w:rFonts w:cs="Times New Roman" w:ascii="Times New Roman" w:hAnsi="Times New Roman"/>
                <w:color w:val="000000"/>
                <w:sz w:val="22"/>
                <w:szCs w:val="22"/>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1">
              <w:r>
                <w:rPr>
                  <w:rFonts w:cs="Times New Roman" w:ascii="Times New Roman" w:hAnsi="Times New Roman"/>
                  <w:color w:val="0000FF"/>
                  <w:sz w:val="22"/>
                  <w:szCs w:val="22"/>
                  <w:u w:val="single"/>
                </w:rPr>
                <w:t>https://corruptinfo.nazk.gov.ua/reference/getpersonalreference/individual</w:t>
              </w:r>
            </w:hyperlink>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4.</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pPr>
            <w:bookmarkStart w:id="17" w:name="docs-internal-guid-96aa66b4-7fff-9848-e8"/>
            <w:bookmarkEnd w:id="17"/>
            <w:r>
              <w:rPr>
                <w:rFonts w:cs="Times New Roman" w:ascii="Times New Roman" w:hAnsi="Times New Roman"/>
                <w:color w:val="000000"/>
                <w:sz w:val="22"/>
                <w:szCs w:val="22"/>
              </w:rPr>
              <w:t>Суб’єкт господарювання (учасник) протягом останніх трьох років притягувався до відповідальності за порушення, передбачене </w:t>
            </w:r>
            <w:r>
              <w:fldChar w:fldCharType="begin"/>
            </w:r>
            <w:r>
              <w:rPr>
                <w:sz w:val="22"/>
                <w:u w:val="single"/>
                <w:szCs w:val="22"/>
                <w:rFonts w:cs="Times New Roman" w:ascii="Times New Roman" w:hAnsi="Times New Roman"/>
                <w:color w:val="000000"/>
              </w:rPr>
              <w:instrText> HYPERLINK "https://zakon.rada.gov.ua/laws/show/2210-14" \l "n52"</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пунктом 4 частини другої статті 6</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rPr>
              <w:t>, </w:t>
            </w:r>
            <w:r>
              <w:fldChar w:fldCharType="begin"/>
            </w:r>
            <w:r>
              <w:rPr>
                <w:sz w:val="22"/>
                <w:u w:val="single"/>
                <w:szCs w:val="22"/>
                <w:rFonts w:cs="Times New Roman" w:ascii="Times New Roman" w:hAnsi="Times New Roman"/>
                <w:color w:val="000000"/>
              </w:rPr>
              <w:instrText> HYPERLINK "https://zakon.rada.gov.ua/laws/show/2210-14" \l "n456"</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пунктом 1 статті 50</w:t>
            </w:r>
            <w:r>
              <w:rPr>
                <w:sz w:val="22"/>
                <w:u w:val="single"/>
                <w:szCs w:val="22"/>
                <w:rFonts w:cs="Times New Roman" w:ascii="Times New Roman" w:hAnsi="Times New Roman"/>
                <w:color w:val="000000"/>
              </w:rPr>
              <w:fldChar w:fldCharType="end"/>
            </w:r>
            <w:r>
              <w:rPr>
                <w:rFonts w:ascii="Times New Roman" w:hAnsi="Times New Roman"/>
                <w:color w:val="000000"/>
                <w:sz w:val="22"/>
                <w:szCs w:val="22"/>
              </w:rPr>
              <w:t> </w:t>
            </w:r>
            <w:r>
              <w:rPr>
                <w:rFonts w:cs="Times New Roman" w:ascii="Times New Roman" w:hAnsi="Times New Roman"/>
                <w:color w:val="000000"/>
                <w:sz w:val="22"/>
                <w:szCs w:val="22"/>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18" w:name="docs-internal-guid-8d42e217-7fff-bcd8-2b"/>
            <w:bookmarkEnd w:id="18"/>
            <w:r>
              <w:rPr>
                <w:b/>
                <w:color w:val="000000"/>
                <w:sz w:val="22"/>
                <w:szCs w:val="22"/>
                <w:lang w:val="uk-UA"/>
              </w:rPr>
              <w:t>п.4 ч.1 ст.17</w:t>
            </w:r>
          </w:p>
        </w:tc>
        <w:tc>
          <w:tcPr>
            <w:tcW w:w="2599" w:type="dxa"/>
            <w:tcBorders>
              <w:left w:val="single" w:sz="4" w:space="0" w:color="000000"/>
              <w:bottom w:val="single" w:sz="4" w:space="0" w:color="000000"/>
            </w:tcBorders>
            <w:vAlign w:val="center"/>
          </w:tcPr>
          <w:p>
            <w:pPr>
              <w:pStyle w:val="Normal"/>
              <w:widowControl w:val="false"/>
              <w:rPr>
                <w:sz w:val="22"/>
                <w:szCs w:val="22"/>
              </w:rPr>
            </w:pPr>
            <w:bookmarkStart w:id="19" w:name="docs-internal-guid-002103e7-7fff-1373-fc"/>
            <w:bookmarkEnd w:id="19"/>
            <w:r>
              <w:rPr>
                <w:color w:val="000000"/>
                <w:sz w:val="22"/>
                <w:szCs w:val="22"/>
                <w:lang w:val="uk-UA"/>
              </w:rPr>
              <w:t>Інформація в довільній формі про те, що суб’єкт господарювання (учасник) протягом останніх трьох років притягувався/не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20" w:name="docs-internal-guid-101e60d8-7fff-3354-3e"/>
            <w:bookmarkEnd w:id="20"/>
            <w:r>
              <w:rPr>
                <w:rFonts w:cs="Times New Roman" w:ascii="Times New Roman" w:hAnsi="Times New Roman"/>
                <w:color w:val="242424"/>
                <w:sz w:val="22"/>
                <w:szCs w:val="22"/>
              </w:rPr>
              <w:t>Підтвердження не вимагається</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r>
              <w:rPr>
                <w:rFonts w:cs="Times New Roman" w:ascii="Times New Roman" w:hAnsi="Times New Roman"/>
                <w:color w:val="000000"/>
                <w:sz w:val="22"/>
                <w:szCs w:val="22"/>
              </w:rPr>
              <w:t xml:space="preserve">Замовник самостійно перевіряє інформацію на сайті АМКУ за посиланням </w:t>
            </w:r>
            <w:r>
              <w:rPr>
                <w:rFonts w:ascii="Times New Roman" w:hAnsi="Times New Roman"/>
                <w:color w:val="000000"/>
                <w:sz w:val="22"/>
                <w:szCs w:val="22"/>
              </w:rPr>
              <w:t> </w:t>
            </w:r>
            <w:hyperlink r:id="rId12">
              <w:r>
                <w:rPr>
                  <w:rFonts w:cs="Times New Roman" w:ascii="Times New Roman" w:hAnsi="Times New Roman"/>
                  <w:color w:val="0000FF"/>
                  <w:sz w:val="22"/>
                  <w:szCs w:val="22"/>
                  <w:u w:val="single"/>
                </w:rPr>
                <w:t>https://amcu.gov.ua/napryami/oskarzhennya-publichnih-zakupivel/zvedeni-vidomosti-shchodo-spotvorennya-rezultativ-torgiv</w:t>
              </w:r>
            </w:hyperlink>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5.</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21" w:name="docs-internal-guid-21449024-7fff-929b-a8"/>
            <w:bookmarkEnd w:id="21"/>
            <w:r>
              <w:rPr>
                <w:rFonts w:cs="Times New Roman" w:ascii="Times New Roman" w:hAnsi="Times New Roman"/>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22" w:name="docs-internal-guid-06fd9b5c-7fff-c300-c0"/>
            <w:bookmarkEnd w:id="22"/>
            <w:r>
              <w:rPr>
                <w:b/>
                <w:color w:val="000000"/>
                <w:sz w:val="22"/>
                <w:szCs w:val="22"/>
                <w:lang w:val="uk-UA"/>
              </w:rPr>
              <w:t>п.5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Normal"/>
              <w:widowControl w:val="false"/>
              <w:rPr>
                <w:sz w:val="22"/>
                <w:szCs w:val="22"/>
              </w:rPr>
            </w:pPr>
            <w:bookmarkStart w:id="23" w:name="docs-internal-guid-391398ee-7fff-e50c-37"/>
            <w:bookmarkEnd w:id="23"/>
            <w:r>
              <w:rPr>
                <w:color w:val="000000"/>
                <w:sz w:val="22"/>
                <w:szCs w:val="22"/>
                <w:lang w:val="uk-UA"/>
              </w:rPr>
              <w:t>Інформація в довільній формі про те, що 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24" w:name="docs-internal-guid-6d6d5ae9-7fff-0ce5-3b"/>
            <w:bookmarkEnd w:id="24"/>
            <w:r>
              <w:rPr>
                <w:rFonts w:cs="Times New Roman" w:ascii="Times New Roman" w:hAnsi="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t>Переможець отримує витяг за посиланням</w:t>
            </w:r>
          </w:p>
          <w:p>
            <w:pPr>
              <w:pStyle w:val="1"/>
              <w:widowControl w:val="false"/>
              <w:spacing w:lineRule="auto" w:line="240" w:before="0" w:after="0"/>
              <w:ind w:hanging="2"/>
              <w:jc w:val="left"/>
              <w:rPr>
                <w:rFonts w:ascii="Times New Roman" w:hAnsi="Times New Roman" w:cs="Times New Roman"/>
                <w:b w:val="false"/>
                <w:b w:val="false"/>
                <w:color w:val="366091"/>
                <w:sz w:val="22"/>
                <w:szCs w:val="22"/>
                <w:u w:val="single"/>
              </w:rPr>
            </w:pPr>
            <w:r>
              <w:rPr>
                <w:rFonts w:cs="Times New Roman" w:ascii="Times New Roman" w:hAnsi="Times New Roman"/>
                <w:b w:val="false"/>
                <w:color w:val="366091"/>
                <w:sz w:val="22"/>
                <w:szCs w:val="22"/>
                <w:u w:val="single"/>
              </w:rPr>
              <w:t>https://vytiah.mvs.gov.ua/app/landing</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6.</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25" w:name="docs-internal-guid-8e2d8552-7fff-d3ae-2e"/>
            <w:bookmarkEnd w:id="25"/>
            <w:r>
              <w:rPr>
                <w:rFonts w:cs="Times New Roman" w:ascii="Times New Roman" w:hAnsi="Times New Roman"/>
                <w:color w:val="000000"/>
                <w:sz w:val="22"/>
                <w:szCs w:val="22"/>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26" w:name="docs-internal-guid-358c21bf-7fff-f788-30"/>
            <w:bookmarkEnd w:id="26"/>
            <w:r>
              <w:rPr>
                <w:b/>
                <w:color w:val="000000"/>
                <w:sz w:val="22"/>
                <w:szCs w:val="22"/>
                <w:lang w:val="uk-UA"/>
              </w:rPr>
              <w:t>п.6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Normal"/>
              <w:widowControl w:val="false"/>
              <w:rPr>
                <w:sz w:val="22"/>
                <w:szCs w:val="22"/>
              </w:rPr>
            </w:pPr>
            <w:bookmarkStart w:id="27" w:name="docs-internal-guid-b13f8269-7fff-22f0-1f"/>
            <w:bookmarkEnd w:id="27"/>
            <w:r>
              <w:rPr>
                <w:color w:val="000000"/>
                <w:sz w:val="22"/>
                <w:szCs w:val="22"/>
                <w:lang w:val="uk-UA"/>
              </w:rPr>
              <w:t>Інформація в довільній формі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28" w:name="docs-internal-guid-1cf653a6-7fff-4a07-c7"/>
            <w:bookmarkEnd w:id="28"/>
            <w:r>
              <w:rPr>
                <w:rFonts w:cs="Times New Roman" w:ascii="Times New Roman" w:hAnsi="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60" w:after="0"/>
              <w:jc w:val="left"/>
              <w:rPr>
                <w:rFonts w:ascii="Times New Roman" w:hAnsi="Times New Roman" w:cs="Times New Roman"/>
                <w:color w:val="000000"/>
                <w:sz w:val="22"/>
                <w:szCs w:val="22"/>
              </w:rPr>
            </w:pPr>
            <w:r>
              <w:rPr>
                <w:rFonts w:cs="Times New Roman" w:ascii="Times New Roman" w:hAnsi="Times New Roman"/>
                <w:color w:val="000000"/>
                <w:sz w:val="22"/>
                <w:szCs w:val="22"/>
              </w:rPr>
              <w:t>Переможець отримує витяг за посиланням</w:t>
            </w:r>
          </w:p>
          <w:p>
            <w:pPr>
              <w:pStyle w:val="1"/>
              <w:widowControl w:val="false"/>
              <w:spacing w:lineRule="auto" w:line="240" w:before="60" w:after="0"/>
              <w:ind w:hanging="2"/>
              <w:jc w:val="left"/>
              <w:rPr>
                <w:rFonts w:ascii="Times New Roman" w:hAnsi="Times New Roman" w:cs="Times New Roman"/>
                <w:b w:val="false"/>
                <w:b w:val="false"/>
                <w:color w:val="366091"/>
                <w:sz w:val="22"/>
                <w:szCs w:val="22"/>
              </w:rPr>
            </w:pPr>
            <w:r>
              <w:rPr>
                <w:rFonts w:cs="Times New Roman" w:ascii="Times New Roman" w:hAnsi="Times New Roman"/>
                <w:b w:val="false"/>
                <w:color w:val="366091"/>
                <w:sz w:val="22"/>
                <w:szCs w:val="22"/>
              </w:rPr>
              <w:t>https://vytiah.mvs.gov.ua/app/landing</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7.</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29" w:name="docs-internal-guid-4ac2970f-7fff-a37f-a8"/>
            <w:bookmarkEnd w:id="29"/>
            <w:r>
              <w:rPr>
                <w:rFonts w:cs="Times New Roman" w:ascii="Times New Roman" w:hAnsi="Times New Roman"/>
                <w:color w:val="000000"/>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30" w:name="docs-internal-guid-ae4cdaf7-7fff-bebf-0e"/>
            <w:bookmarkEnd w:id="30"/>
            <w:r>
              <w:rPr>
                <w:b/>
                <w:color w:val="000000"/>
                <w:sz w:val="22"/>
                <w:szCs w:val="22"/>
                <w:lang w:val="uk-UA"/>
              </w:rPr>
              <w:t>п.7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31" w:name="docs-internal-guid-793b1a7b-7fff-e50d-70"/>
            <w:bookmarkEnd w:id="31"/>
            <w:r>
              <w:rPr>
                <w:rFonts w:cs="Times New Roman" w:ascii="Times New Roman" w:hAnsi="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pPr>
              <w:pStyle w:val="Normal"/>
              <w:widowControl w:val="false"/>
              <w:rPr>
                <w:color w:val="242424"/>
                <w:sz w:val="22"/>
                <w:szCs w:val="22"/>
                <w:lang w:val="uk-UA"/>
              </w:rPr>
            </w:pPr>
            <w:bookmarkStart w:id="32" w:name="docs-internal-guid-58a74b14-7fff-0c91-20"/>
            <w:bookmarkEnd w:id="32"/>
            <w:r>
              <w:rPr>
                <w:color w:val="242424"/>
                <w:sz w:val="22"/>
                <w:szCs w:val="22"/>
                <w:lang w:val="uk-UA"/>
              </w:rPr>
              <w:t>Підтвердження не вимагається</w:t>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8.</w:t>
            </w:r>
          </w:p>
        </w:tc>
        <w:tc>
          <w:tcPr>
            <w:tcW w:w="2816" w:type="dxa"/>
            <w:tcBorders>
              <w:left w:val="single" w:sz="4" w:space="0" w:color="000000"/>
              <w:bottom w:val="single" w:sz="4" w:space="0" w:color="000000"/>
            </w:tcBorders>
            <w:vAlign w:val="center"/>
          </w:tcPr>
          <w:p>
            <w:pPr>
              <w:pStyle w:val="Normal"/>
              <w:widowControl w:val="false"/>
              <w:rPr>
                <w:sz w:val="22"/>
                <w:szCs w:val="22"/>
              </w:rPr>
            </w:pPr>
            <w:bookmarkStart w:id="33" w:name="docs-internal-guid-8557bd09-7fff-4fcc-b1"/>
            <w:bookmarkEnd w:id="33"/>
            <w:r>
              <w:rPr>
                <w:color w:val="000000"/>
                <w:sz w:val="22"/>
                <w:szCs w:val="22"/>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34" w:name="docs-internal-guid-ee998597-7fff-72e1-a0"/>
            <w:bookmarkEnd w:id="34"/>
            <w:r>
              <w:rPr>
                <w:b/>
                <w:color w:val="000000"/>
                <w:sz w:val="22"/>
                <w:szCs w:val="22"/>
                <w:lang w:val="uk-UA"/>
              </w:rPr>
              <w:t>п.8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35" w:name="docs-internal-guid-0f06ac13-7fff-a3c2-9f"/>
            <w:bookmarkEnd w:id="35"/>
            <w:r>
              <w:rPr>
                <w:rFonts w:cs="Times New Roman" w:ascii="Times New Roman" w:hAnsi="Times New Roman"/>
                <w:color w:val="242424"/>
                <w:sz w:val="22"/>
                <w:szCs w:val="22"/>
              </w:rPr>
              <w:t xml:space="preserve">Учасник надає у складі тендерної пропозиції довідку в довільній формі, що його не </w:t>
            </w:r>
            <w:r>
              <w:rPr>
                <w:rFonts w:cs="Times New Roman" w:ascii="Times New Roman" w:hAnsi="Times New Roman"/>
                <w:color w:val="000000"/>
                <w:sz w:val="22"/>
                <w:szCs w:val="22"/>
              </w:rPr>
              <w:t> визнано у встановленому законом порядку банкрутом та стосовно нього не відкрита ліквідаційна процедура</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pPr>
              <w:pStyle w:val="Normal"/>
              <w:widowControl w:val="false"/>
              <w:ind w:firstLine="737"/>
              <w:rPr>
                <w:rFonts w:eastAsia="Times New Roman"/>
                <w:color w:val="000000"/>
                <w:sz w:val="22"/>
                <w:szCs w:val="22"/>
                <w:lang w:val="uk-UA" w:eastAsia="ru-RU" w:bidi="en-US"/>
              </w:rPr>
            </w:pPr>
            <w:bookmarkStart w:id="36" w:name="docs-internal-guid-25695372-7fff-c63f-87"/>
            <w:bookmarkEnd w:id="36"/>
            <w:r>
              <w:rPr>
                <w:rFonts w:eastAsia="Times New Roman"/>
                <w:color w:val="000000"/>
                <w:sz w:val="22"/>
                <w:szCs w:val="22"/>
                <w:lang w:val="uk-UA" w:eastAsia="ru-RU" w:bidi="en-US"/>
              </w:rPr>
              <w:t>Не вимагається спосіб підтвердження.</w:t>
            </w:r>
          </w:p>
          <w:p>
            <w:pPr>
              <w:pStyle w:val="Normal"/>
              <w:widowControl w:val="false"/>
              <w:ind w:firstLine="737"/>
              <w:rPr>
                <w:rFonts w:ascii="Calibri" w:hAnsi="Calibri" w:eastAsia="Times New Roman" w:cs="" w:asciiTheme="minorHAnsi" w:cstheme="minorBidi" w:hAnsiTheme="minorHAnsi"/>
                <w:sz w:val="24"/>
                <w:szCs w:val="20"/>
                <w:lang w:val="uk-UA" w:eastAsia="ru-RU" w:bidi="en-US"/>
              </w:rPr>
            </w:pPr>
            <w:r>
              <w:rPr>
                <w:rFonts w:eastAsia="Times New Roman"/>
                <w:color w:val="000000"/>
                <w:sz w:val="22"/>
                <w:szCs w:val="22"/>
                <w:lang w:val="uk-UA" w:eastAsia="ru-RU" w:bidi="en-US"/>
              </w:rPr>
              <w:t xml:space="preserve">Замовник самостійно перевіряє дану інформацію за допомогою ресурсів </w:t>
            </w:r>
            <w:hyperlink r:id="rId13">
              <w:r>
                <w:rPr>
                  <w:rFonts w:eastAsia="Times New Roman"/>
                  <w:color w:val="000000"/>
                  <w:sz w:val="22"/>
                  <w:szCs w:val="22"/>
                  <w:lang w:val="uk-UA" w:eastAsia="ru-RU" w:bidi="en-US"/>
                </w:rPr>
                <w:t>https://youcontrol.com.ua/</w:t>
              </w:r>
            </w:hyperlink>
            <w:r>
              <w:rPr>
                <w:rFonts w:eastAsia="Times New Roman" w:cs="" w:cstheme="minorBidi"/>
                <w:color w:val="000000"/>
                <w:sz w:val="22"/>
                <w:szCs w:val="22"/>
                <w:lang w:val="uk-UA" w:eastAsia="ru-RU" w:bidi="en-US"/>
              </w:rPr>
              <w:t xml:space="preserve">   </w:t>
            </w:r>
            <w:r>
              <w:rPr>
                <w:rFonts w:eastAsia="Times New Roman"/>
                <w:color w:val="000000"/>
                <w:sz w:val="22"/>
                <w:szCs w:val="22"/>
                <w:lang w:val="uk-UA" w:eastAsia="ru-RU" w:bidi="en-US"/>
              </w:rPr>
              <w:t>або</w:t>
            </w:r>
          </w:p>
          <w:p>
            <w:pPr>
              <w:pStyle w:val="Normal"/>
              <w:keepNext w:val="true"/>
              <w:keepLines/>
              <w:widowControl w:val="false"/>
              <w:numPr>
                <w:ilvl w:val="0"/>
                <w:numId w:val="0"/>
              </w:numPr>
              <w:ind w:left="0" w:hanging="2"/>
              <w:outlineLvl w:val="0"/>
              <w:rPr>
                <w:rFonts w:eastAsia="" w:eastAsiaTheme="majorEastAsia"/>
                <w:bCs/>
                <w:color w:val="000000"/>
                <w:sz w:val="22"/>
                <w:szCs w:val="22"/>
                <w:lang w:val="uk-UA" w:eastAsia="ru-RU" w:bidi="en-US"/>
              </w:rPr>
            </w:pPr>
            <w:r>
              <w:rPr>
                <w:rFonts w:eastAsia="" w:eastAsiaTheme="majorEastAsia"/>
                <w:bCs/>
                <w:color w:val="000000"/>
                <w:sz w:val="22"/>
                <w:szCs w:val="22"/>
                <w:lang w:val="uk-UA" w:eastAsia="ru-RU" w:bidi="en-US"/>
              </w:rPr>
              <w:t>https://opendatabot.ua/</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9.</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pPr>
            <w:bookmarkStart w:id="37" w:name="docs-internal-guid-a9c03ffc-7fff-1dbf-12"/>
            <w:bookmarkEnd w:id="37"/>
            <w:r>
              <w:rPr>
                <w:rFonts w:cs="Times New Roman" w:ascii="Times New Roman" w:hAnsi="Times New Roman"/>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rPr>
                <w:sz w:val="22"/>
                <w:u w:val="single"/>
                <w:szCs w:val="22"/>
                <w:rFonts w:cs="Times New Roman" w:ascii="Times New Roman" w:hAnsi="Times New Roman"/>
                <w:color w:val="000000"/>
              </w:rPr>
              <w:instrText> HYPERLINK "https://zakon.rada.gov.ua/laws/show/755-15" \l "n174"</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пунктом 9</w:t>
            </w:r>
            <w:r>
              <w:rPr>
                <w:sz w:val="22"/>
                <w:u w:val="single"/>
                <w:szCs w:val="22"/>
                <w:rFonts w:cs="Times New Roman" w:ascii="Times New Roman" w:hAnsi="Times New Roman"/>
                <w:color w:val="000000"/>
              </w:rPr>
              <w:fldChar w:fldCharType="end"/>
            </w:r>
            <w:r>
              <w:rPr>
                <w:rFonts w:ascii="Times New Roman" w:hAnsi="Times New Roman"/>
                <w:color w:val="000000"/>
                <w:sz w:val="22"/>
                <w:szCs w:val="22"/>
              </w:rPr>
              <w:t> </w:t>
            </w:r>
            <w:r>
              <w:rPr>
                <w:rFonts w:cs="Times New Roman" w:ascii="Times New Roman" w:hAnsi="Times New Roman"/>
                <w:color w:val="000000"/>
                <w:sz w:val="22"/>
                <w:szCs w:val="22"/>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38" w:name="docs-internal-guid-4066df92-7fff-440f-af"/>
            <w:bookmarkEnd w:id="38"/>
            <w:r>
              <w:rPr>
                <w:b/>
                <w:color w:val="000000"/>
                <w:sz w:val="22"/>
                <w:szCs w:val="22"/>
                <w:lang w:val="uk-UA"/>
              </w:rPr>
              <w:t>п.9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39" w:name="docs-internal-guid-cae2d404-7fff-75ba-b1"/>
            <w:bookmarkEnd w:id="39"/>
            <w:r>
              <w:rPr>
                <w:rFonts w:cs="Times New Roman" w:ascii="Times New Roman" w:hAnsi="Times New Roman"/>
                <w:color w:val="242424"/>
                <w:sz w:val="22"/>
                <w:szCs w:val="22"/>
              </w:rPr>
              <w:t xml:space="preserve">Учасник надає у складі тендерної пропозиції довідку в довільній формі, що у </w:t>
            </w:r>
            <w:r>
              <w:rPr>
                <w:rFonts w:cs="Times New Roman" w:ascii="Times New Roman" w:hAnsi="Times New Roman"/>
                <w:color w:val="000000"/>
                <w:sz w:val="22"/>
                <w:szCs w:val="22"/>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40" w:name="docs-internal-guid-f8c120ac-7fff-8ffb-63"/>
            <w:bookmarkEnd w:id="40"/>
            <w:r>
              <w:rPr>
                <w:rFonts w:cs="Times New Roman" w:ascii="Times New Roman" w:hAnsi="Times New Roman"/>
                <w:color w:val="000000"/>
                <w:sz w:val="22"/>
                <w:szCs w:val="22"/>
              </w:rPr>
              <w:t>Не вимагається спосіб підтвердження.</w:t>
            </w:r>
          </w:p>
          <w:p>
            <w:pPr>
              <w:pStyle w:val="Style20"/>
              <w:widowControl w:val="false"/>
              <w:spacing w:lineRule="auto" w:line="240" w:before="0" w:after="0"/>
              <w:jc w:val="left"/>
              <w:rPr/>
            </w:pPr>
            <w:r>
              <w:rPr>
                <w:rFonts w:cs="Times New Roman" w:ascii="Times New Roman" w:hAnsi="Times New Roman"/>
                <w:color w:val="000000"/>
                <w:sz w:val="22"/>
                <w:szCs w:val="22"/>
              </w:rPr>
              <w:t xml:space="preserve">Замовник самостійно перевіряє дану інформацію за допомогою ресурсів </w:t>
            </w:r>
            <w:hyperlink r:id="rId14">
              <w:r>
                <w:rPr>
                  <w:rFonts w:cs="Times New Roman" w:ascii="Times New Roman" w:hAnsi="Times New Roman"/>
                  <w:color w:val="000000"/>
                  <w:sz w:val="22"/>
                  <w:szCs w:val="22"/>
                </w:rPr>
                <w:t>https://youcontrol.com.ua/</w:t>
              </w:r>
            </w:hyperlink>
            <w:r>
              <w:rPr>
                <w:rFonts w:ascii="Times New Roman" w:hAnsi="Times New Roman"/>
                <w:color w:val="000000"/>
                <w:sz w:val="22"/>
                <w:szCs w:val="22"/>
              </w:rPr>
              <w:t xml:space="preserve">   </w:t>
            </w:r>
            <w:r>
              <w:rPr>
                <w:rFonts w:cs="Times New Roman" w:ascii="Times New Roman" w:hAnsi="Times New Roman"/>
                <w:color w:val="000000"/>
                <w:sz w:val="22"/>
                <w:szCs w:val="22"/>
              </w:rPr>
              <w:t>або</w:t>
            </w:r>
          </w:p>
          <w:p>
            <w:pPr>
              <w:pStyle w:val="1"/>
              <w:widowControl w:val="false"/>
              <w:spacing w:lineRule="auto" w:line="240" w:before="0" w:after="0"/>
              <w:ind w:hanging="2"/>
              <w:jc w:val="left"/>
              <w:rPr>
                <w:rFonts w:ascii="Times New Roman" w:hAnsi="Times New Roman" w:cs="Times New Roman"/>
                <w:b w:val="false"/>
                <w:b w:val="false"/>
                <w:color w:val="000000"/>
                <w:sz w:val="22"/>
                <w:szCs w:val="22"/>
              </w:rPr>
            </w:pPr>
            <w:r>
              <w:rPr>
                <w:rFonts w:cs="Times New Roman" w:ascii="Times New Roman" w:hAnsi="Times New Roman"/>
                <w:b w:val="false"/>
                <w:color w:val="000000"/>
                <w:sz w:val="22"/>
                <w:szCs w:val="22"/>
              </w:rPr>
              <w:t>https://opendatabot.ua/</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10.</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41" w:name="docs-internal-guid-e0012d24-7fff-2862-fd"/>
            <w:bookmarkEnd w:id="41"/>
            <w:r>
              <w:rPr>
                <w:rFonts w:cs="Times New Roman" w:ascii="Times New Roman" w:hAnsi="Times New Roman"/>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42" w:name="docs-internal-guid-1ce98082-7fff-50cd-22"/>
            <w:bookmarkEnd w:id="42"/>
            <w:r>
              <w:rPr>
                <w:b/>
                <w:color w:val="000000"/>
                <w:sz w:val="22"/>
                <w:szCs w:val="22"/>
                <w:lang w:val="uk-UA"/>
              </w:rPr>
              <w:t>п.10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sz w:val="22"/>
                <w:szCs w:val="22"/>
              </w:rPr>
            </w:pPr>
            <w:bookmarkStart w:id="43" w:name="docs-internal-guid-349d03cd-7fff-88ae-2e"/>
            <w:bookmarkEnd w:id="43"/>
            <w:r>
              <w:rPr>
                <w:rFonts w:cs="Times New Roman" w:ascii="Times New Roman" w:hAnsi="Times New Roman"/>
                <w:color w:val="000000"/>
                <w:sz w:val="22"/>
                <w:szCs w:val="22"/>
              </w:rPr>
              <w:t>Інформація в довільній формі про те, що юридична особа, яка є учасником процедури закупівлі (крім нерезидентів), має/не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cs="Times New Roman" w:ascii="Times New Roman" w:hAnsi="Times New Roman"/>
                <w:color w:val="242424"/>
                <w:sz w:val="22"/>
                <w:szCs w:val="22"/>
              </w:rPr>
              <w:t xml:space="preserve"> У разі наявності подати антикорупційну програму та наказ про призначення уповноваженого з реалізації антикорупційної програми.</w:t>
            </w:r>
          </w:p>
          <w:p>
            <w:pPr>
              <w:pStyle w:val="Style20"/>
              <w:widowControl w:val="false"/>
              <w:spacing w:lineRule="auto" w:line="240"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t>В іншому випадку замовник взагалі не вимагає таку інформацію.</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pPr>
              <w:pStyle w:val="Normal"/>
              <w:widowControl w:val="false"/>
              <w:rPr>
                <w:color w:val="242424"/>
                <w:sz w:val="22"/>
                <w:szCs w:val="22"/>
                <w:lang w:val="uk-UA"/>
              </w:rPr>
            </w:pPr>
            <w:bookmarkStart w:id="44" w:name="docs-internal-guid-17330fc3-7fff-a85d-59"/>
            <w:bookmarkEnd w:id="44"/>
            <w:r>
              <w:rPr>
                <w:color w:val="242424"/>
                <w:sz w:val="22"/>
                <w:szCs w:val="22"/>
                <w:lang w:val="uk-UA"/>
              </w:rPr>
              <w:t>Підтвердження не вимагається</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11.</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pPr>
            <w:bookmarkStart w:id="45" w:name="docs-internal-guid-c2bc179a-7fff-4215-ac"/>
            <w:bookmarkEnd w:id="45"/>
            <w:r>
              <w:rPr>
                <w:rFonts w:cs="Times New Roman" w:ascii="Times New Roman" w:hAnsi="Times New Roman"/>
                <w:color w:val="000000"/>
                <w:sz w:val="22"/>
                <w:szCs w:val="22"/>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r>
                <w:rPr>
                  <w:rFonts w:cs="Times New Roman" w:ascii="Times New Roman" w:hAnsi="Times New Roman"/>
                  <w:color w:val="000000"/>
                  <w:sz w:val="22"/>
                  <w:szCs w:val="22"/>
                  <w:u w:val="single"/>
                </w:rPr>
                <w:t>Законом України</w:t>
              </w:r>
            </w:hyperlink>
            <w:r>
              <w:rPr>
                <w:rFonts w:ascii="Times New Roman" w:hAnsi="Times New Roman"/>
                <w:color w:val="000000"/>
                <w:sz w:val="22"/>
                <w:szCs w:val="22"/>
                <w:u w:val="single"/>
              </w:rPr>
              <w:t xml:space="preserve"> </w:t>
            </w:r>
            <w:r>
              <w:rPr>
                <w:rFonts w:cs="Times New Roman" w:ascii="Times New Roman" w:hAnsi="Times New Roman"/>
                <w:color w:val="000000"/>
                <w:sz w:val="22"/>
                <w:szCs w:val="22"/>
              </w:rPr>
              <w:t>«Про санкції»</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46" w:name="docs-internal-guid-3fc10dd3-7fff-5e6c-72"/>
            <w:bookmarkEnd w:id="46"/>
            <w:r>
              <w:rPr>
                <w:b/>
                <w:color w:val="000000"/>
                <w:sz w:val="22"/>
                <w:szCs w:val="22"/>
                <w:lang w:val="uk-UA"/>
              </w:rPr>
              <w:t>п.11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47" w:name="docs-internal-guid-6d2d83c3-7fff-776a-d8"/>
            <w:bookmarkEnd w:id="47"/>
            <w:r>
              <w:rPr>
                <w:rFonts w:cs="Times New Roman" w:ascii="Times New Roman" w:hAnsi="Times New Roman"/>
                <w:color w:val="000000"/>
                <w:sz w:val="22"/>
                <w:szCs w:val="22"/>
              </w:rPr>
              <w:t>Інформація в довільній формі про те, що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242424"/>
                <w:sz w:val="22"/>
                <w:szCs w:val="22"/>
              </w:rPr>
            </w:pPr>
            <w:bookmarkStart w:id="48" w:name="docs-internal-guid-07d4e4c9-7fff-bf9e-b4"/>
            <w:bookmarkEnd w:id="48"/>
            <w:r>
              <w:rPr>
                <w:rFonts w:cs="Times New Roman" w:ascii="Times New Roman" w:hAnsi="Times New Roman"/>
                <w:color w:val="242424"/>
                <w:sz w:val="22"/>
                <w:szCs w:val="22"/>
              </w:rPr>
              <w:t>Підтвердження не вимагається, замовник самостійно перевіряє інформацію.</w:t>
            </w:r>
          </w:p>
          <w:p>
            <w:pPr>
              <w:pStyle w:val="Style20"/>
              <w:widowControl w:val="false"/>
              <w:spacing w:lineRule="auto" w:line="240" w:before="0" w:after="0"/>
              <w:jc w:val="left"/>
              <w:rPr>
                <w:rFonts w:ascii="Times New Roman" w:hAnsi="Times New Roman"/>
                <w:sz w:val="22"/>
                <w:szCs w:val="22"/>
              </w:rPr>
            </w:pPr>
            <w:r>
              <w:rPr>
                <w:rFonts w:ascii="Times New Roman" w:hAnsi="Times New Roman"/>
                <w:sz w:val="22"/>
                <w:szCs w:val="22"/>
              </w:rPr>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12.</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49" w:name="docs-internal-guid-cebc8356-7fff-05b9-d0"/>
            <w:bookmarkEnd w:id="49"/>
            <w:r>
              <w:rPr>
                <w:rFonts w:cs="Times New Roman" w:ascii="Times New Roman" w:hAnsi="Times New Roman"/>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50" w:name="docs-internal-guid-d55ee7c0-7fff-285e-a7"/>
            <w:bookmarkEnd w:id="50"/>
            <w:r>
              <w:rPr>
                <w:b/>
                <w:color w:val="000000"/>
                <w:sz w:val="22"/>
                <w:szCs w:val="22"/>
                <w:lang w:val="uk-UA"/>
              </w:rPr>
              <w:t>п.12 ч.1 ст.17</w:t>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sz w:val="22"/>
                <w:szCs w:val="22"/>
              </w:rPr>
            </w:pPr>
            <w:bookmarkStart w:id="51" w:name="docs-internal-guid-da8e6095-7fff-5d52-d2"/>
            <w:bookmarkEnd w:id="51"/>
            <w:r>
              <w:rPr>
                <w:rFonts w:cs="Times New Roman" w:ascii="Times New Roman" w:hAnsi="Times New Roman"/>
                <w:color w:val="000000"/>
                <w:sz w:val="22"/>
                <w:szCs w:val="22"/>
              </w:rPr>
              <w:t>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37"/>
              <w:widowControl w:val="false"/>
              <w:jc w:val="left"/>
              <w:rPr>
                <w:color w:val="000000"/>
                <w:sz w:val="22"/>
                <w:szCs w:val="22"/>
                <w:lang w:val="uk-UA"/>
              </w:rPr>
            </w:pPr>
            <w:r>
              <w:rPr>
                <w:color w:val="000000"/>
                <w:sz w:val="22"/>
                <w:szCs w:val="22"/>
                <w:lang w:val="uk-UA"/>
              </w:rP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52" w:name="docs-internal-guid-04c1522e-7fff-858a-ba"/>
            <w:bookmarkEnd w:id="52"/>
            <w:r>
              <w:rPr>
                <w:rFonts w:cs="Times New Roman" w:ascii="Times New Roman" w:hAnsi="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pacing w:lineRule="auto" w:line="240" w:before="60" w:after="0"/>
              <w:jc w:val="left"/>
              <w:rPr>
                <w:rFonts w:ascii="Times New Roman" w:hAnsi="Times New Roman" w:cs="Times New Roman"/>
                <w:color w:val="000000"/>
                <w:sz w:val="22"/>
                <w:szCs w:val="22"/>
              </w:rPr>
            </w:pPr>
            <w:r>
              <w:rPr>
                <w:rFonts w:cs="Times New Roman" w:ascii="Times New Roman" w:hAnsi="Times New Roman"/>
                <w:color w:val="000000"/>
                <w:sz w:val="22"/>
                <w:szCs w:val="22"/>
              </w:rPr>
              <w:t>Переможець отримує витяг за посиланням</w:t>
            </w:r>
          </w:p>
          <w:p>
            <w:pPr>
              <w:pStyle w:val="1"/>
              <w:widowControl w:val="false"/>
              <w:spacing w:lineRule="auto" w:line="240" w:before="0" w:after="0"/>
              <w:ind w:hanging="2"/>
              <w:jc w:val="left"/>
              <w:rPr>
                <w:rFonts w:ascii="Times New Roman" w:hAnsi="Times New Roman" w:cs="Times New Roman"/>
                <w:color w:val="366091"/>
                <w:sz w:val="22"/>
                <w:szCs w:val="22"/>
                <w:u w:val="single"/>
              </w:rPr>
            </w:pPr>
            <w:r>
              <w:rPr>
                <w:rFonts w:cs="Times New Roman" w:ascii="Times New Roman" w:hAnsi="Times New Roman"/>
                <w:color w:val="366091"/>
                <w:sz w:val="22"/>
                <w:szCs w:val="22"/>
                <w:u w:val="single"/>
              </w:rPr>
              <w:t>https://vytiah.mvs.gov.ua/app/landing</w:t>
            </w:r>
          </w:p>
          <w:p>
            <w:pPr>
              <w:pStyle w:val="Style37"/>
              <w:widowControl w:val="false"/>
              <w:jc w:val="left"/>
              <w:rPr>
                <w:color w:val="000000"/>
                <w:sz w:val="22"/>
                <w:szCs w:val="22"/>
                <w:lang w:val="uk-UA"/>
              </w:rPr>
            </w:pPr>
            <w:r>
              <w:rPr>
                <w:color w:val="000000"/>
                <w:sz w:val="22"/>
                <w:szCs w:val="22"/>
                <w:lang w:val="uk-UA"/>
              </w:rPr>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13.</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53" w:name="docs-internal-guid-034997cf-7fff-c6a3-5b"/>
            <w:bookmarkEnd w:id="53"/>
            <w:r>
              <w:rPr>
                <w:rFonts w:cs="Times New Roman" w:ascii="Times New Roman" w:hAnsi="Times New Roman"/>
                <w:color w:val="000000"/>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54" w:name="docs-internal-guid-2aff17f5-7fff-f10a-09"/>
            <w:bookmarkEnd w:id="54"/>
            <w:r>
              <w:rPr>
                <w:b/>
                <w:color w:val="000000"/>
                <w:sz w:val="22"/>
                <w:szCs w:val="22"/>
                <w:lang w:val="uk-UA"/>
              </w:rPr>
              <w:t>п.13 ч.1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Normal"/>
              <w:widowControl w:val="false"/>
              <w:rPr>
                <w:color w:val="000000"/>
                <w:sz w:val="22"/>
                <w:szCs w:val="22"/>
                <w:lang w:val="uk-UA"/>
              </w:rPr>
            </w:pPr>
            <w:r>
              <w:rPr>
                <w:color w:val="000000"/>
                <w:sz w:val="22"/>
                <w:szCs w:val="22"/>
                <w:lang w:val="uk-UA"/>
              </w:rPr>
              <w:t>Замовник не вимагає від учасника підтвердження підстави.</w:t>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sz w:val="22"/>
                <w:szCs w:val="22"/>
              </w:rPr>
            </w:pPr>
            <w:r>
              <w:rPr>
                <w:rFonts w:ascii="Times New Roman" w:hAnsi="Times New Roman"/>
                <w:sz w:val="22"/>
                <w:szCs w:val="22"/>
              </w:rPr>
              <w:t xml:space="preserve">Замовник не перевіряє переможця процедури закупівлі на відповідність підстави. </w:t>
            </w:r>
            <w:r>
              <w:rPr>
                <w:rFonts w:cs="Times New Roman" w:ascii="Times New Roman" w:hAnsi="Times New Roman"/>
                <w:color w:val="000000"/>
                <w:sz w:val="22"/>
                <w:szCs w:val="22"/>
              </w:rPr>
              <w:t>Замовник не вимагає від учасника підтвердження підстави.</w:t>
            </w:r>
          </w:p>
        </w:tc>
      </w:tr>
      <w:tr>
        <w:trPr/>
        <w:tc>
          <w:tcPr>
            <w:tcW w:w="844" w:type="dxa"/>
            <w:tcBorders>
              <w:left w:val="single" w:sz="4" w:space="0" w:color="000000"/>
              <w:bottom w:val="single" w:sz="4" w:space="0" w:color="000000"/>
            </w:tcBorders>
            <w:vAlign w:val="center"/>
          </w:tcPr>
          <w:p>
            <w:pPr>
              <w:pStyle w:val="Style37"/>
              <w:widowControl w:val="false"/>
              <w:rPr>
                <w:color w:val="000000"/>
                <w:sz w:val="22"/>
                <w:szCs w:val="22"/>
                <w:lang w:val="uk-UA"/>
              </w:rPr>
            </w:pPr>
            <w:r>
              <w:rPr>
                <w:color w:val="000000"/>
                <w:sz w:val="22"/>
                <w:szCs w:val="22"/>
                <w:lang w:val="uk-UA"/>
              </w:rPr>
              <w:t>14.</w:t>
            </w:r>
          </w:p>
        </w:tc>
        <w:tc>
          <w:tcPr>
            <w:tcW w:w="2816" w:type="dxa"/>
            <w:tcBorders>
              <w:left w:val="single" w:sz="4" w:space="0" w:color="000000"/>
              <w:bottom w:val="single" w:sz="4" w:space="0" w:color="000000"/>
            </w:tcBorders>
            <w:vAlign w:val="center"/>
          </w:tcPr>
          <w:p>
            <w:pPr>
              <w:pStyle w:val="Style20"/>
              <w:widowControl w:val="false"/>
              <w:spacing w:lineRule="auto" w:line="240" w:before="0" w:after="0"/>
              <w:ind w:hanging="0"/>
              <w:jc w:val="left"/>
              <w:rPr>
                <w:rFonts w:ascii="Times New Roman" w:hAnsi="Times New Roman" w:cs="Times New Roman"/>
                <w:color w:val="000000"/>
                <w:sz w:val="22"/>
                <w:szCs w:val="22"/>
              </w:rPr>
            </w:pPr>
            <w:bookmarkStart w:id="55" w:name="docs-internal-guid-040e01ad-7fff-7ddb-47"/>
            <w:bookmarkEnd w:id="55"/>
            <w:r>
              <w:rPr>
                <w:rFonts w:cs="Times New Roman" w:ascii="Times New Roman" w:hAnsi="Times New Roman"/>
                <w:color w:val="000000"/>
                <w:sz w:val="22"/>
                <w:szCs w:val="22"/>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Style37"/>
              <w:widowControl w:val="false"/>
              <w:jc w:val="left"/>
              <w:rPr>
                <w:sz w:val="22"/>
                <w:szCs w:val="22"/>
                <w:lang w:val="uk-UA"/>
              </w:rPr>
            </w:pPr>
            <w:r>
              <w:rPr>
                <w:sz w:val="22"/>
                <w:szCs w:val="22"/>
                <w:lang w:val="uk-UA"/>
              </w:rPr>
            </w:r>
          </w:p>
        </w:tc>
        <w:tc>
          <w:tcPr>
            <w:tcW w:w="1300" w:type="dxa"/>
            <w:tcBorders>
              <w:left w:val="single" w:sz="4" w:space="0" w:color="000000"/>
              <w:bottom w:val="single" w:sz="4" w:space="0" w:color="000000"/>
            </w:tcBorders>
            <w:vAlign w:val="center"/>
          </w:tcPr>
          <w:p>
            <w:pPr>
              <w:pStyle w:val="Normal"/>
              <w:widowControl w:val="false"/>
              <w:ind w:left="113" w:right="113" w:hanging="0"/>
              <w:rPr>
                <w:sz w:val="22"/>
                <w:szCs w:val="22"/>
              </w:rPr>
            </w:pPr>
            <w:bookmarkStart w:id="56" w:name="docs-internal-guid-5a6bea66-7fff-9ae6-bd"/>
            <w:bookmarkEnd w:id="56"/>
            <w:r>
              <w:rPr>
                <w:b/>
                <w:color w:val="000000"/>
                <w:sz w:val="22"/>
                <w:szCs w:val="22"/>
                <w:lang w:val="uk-UA"/>
              </w:rPr>
              <w:t>ч.2 ст.17</w:t>
            </w:r>
          </w:p>
          <w:p>
            <w:pPr>
              <w:pStyle w:val="Style37"/>
              <w:widowControl w:val="false"/>
              <w:ind w:left="113" w:right="113" w:hanging="0"/>
              <w:jc w:val="left"/>
              <w:rPr>
                <w:i/>
                <w:i/>
                <w:color w:val="000000"/>
                <w:sz w:val="22"/>
                <w:szCs w:val="22"/>
                <w:lang w:val="uk-UA"/>
              </w:rPr>
            </w:pPr>
            <w:r>
              <w:rPr>
                <w:i/>
                <w:color w:val="000000"/>
                <w:sz w:val="22"/>
                <w:szCs w:val="22"/>
                <w:lang w:val="uk-UA"/>
              </w:rPr>
            </w:r>
          </w:p>
        </w:tc>
        <w:tc>
          <w:tcPr>
            <w:tcW w:w="2599" w:type="dxa"/>
            <w:tcBorders>
              <w:left w:val="single" w:sz="4" w:space="0" w:color="000000"/>
              <w:bottom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57" w:name="docs-internal-guid-93b6e65f-7fff-d019-1c"/>
            <w:bookmarkEnd w:id="57"/>
            <w:r>
              <w:rPr>
                <w:rFonts w:cs="Times New Roman" w:ascii="Times New Roman" w:hAnsi="Times New Roman"/>
                <w:color w:val="000000"/>
                <w:sz w:val="22"/>
                <w:szCs w:val="22"/>
              </w:rPr>
              <w:t>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hd w:val="clear" w:color="auto" w:fill="FFFFFF"/>
              <w:spacing w:lineRule="auto" w:line="240" w:before="0" w:after="0"/>
              <w:ind w:hanging="2"/>
              <w:jc w:val="left"/>
              <w:rPr>
                <w:rFonts w:ascii="Times New Roman" w:hAnsi="Times New Roman" w:cs="Times New Roman"/>
                <w:color w:val="333333"/>
                <w:sz w:val="22"/>
                <w:szCs w:val="22"/>
              </w:rPr>
            </w:pPr>
            <w:r>
              <w:rPr>
                <w:rFonts w:cs="Times New Roman" w:ascii="Times New Roman" w:hAnsi="Times New Roman"/>
                <w:color w:val="333333"/>
                <w:sz w:val="22"/>
                <w:szCs w:val="22"/>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Style20"/>
              <w:widowControl w:val="false"/>
              <w:shd w:val="clear" w:color="auto" w:fill="FFFFFF"/>
              <w:spacing w:lineRule="auto" w:line="240" w:before="0" w:after="150"/>
              <w:ind w:hanging="2"/>
              <w:jc w:val="left"/>
              <w:rPr>
                <w:rFonts w:ascii="Times New Roman" w:hAnsi="Times New Roman" w:cs="Times New Roman"/>
                <w:color w:val="333333"/>
                <w:sz w:val="22"/>
                <w:szCs w:val="22"/>
              </w:rPr>
            </w:pPr>
            <w:r>
              <w:rPr>
                <w:rFonts w:cs="Times New Roman" w:ascii="Times New Roman" w:hAnsi="Times New Roman"/>
                <w:color w:val="333333"/>
                <w:sz w:val="22"/>
                <w:szCs w:val="22"/>
              </w:rPr>
              <w:t>Якщо замовник вважає таке підтвердження достатнім, учаснику не може бути відмовлено в участі в процедурі закупівлі.</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left"/>
              <w:rPr>
                <w:rFonts w:ascii="Times New Roman" w:hAnsi="Times New Roman" w:cs="Times New Roman"/>
                <w:color w:val="000000"/>
                <w:sz w:val="22"/>
                <w:szCs w:val="22"/>
              </w:rPr>
            </w:pPr>
            <w:bookmarkStart w:id="58" w:name="docs-internal-guid-cfe79355-7fff-1000-3d"/>
            <w:bookmarkEnd w:id="58"/>
            <w:r>
              <w:rPr>
                <w:rFonts w:cs="Times New Roman" w:ascii="Times New Roman" w:hAnsi="Times New Roman"/>
                <w:color w:val="000000"/>
                <w:sz w:val="22"/>
                <w:szCs w:val="22"/>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Style20"/>
              <w:widowControl w:val="false"/>
              <w:spacing w:lineRule="auto" w:line="240"/>
              <w:jc w:val="left"/>
              <w:rPr>
                <w:rFonts w:ascii="Times New Roman" w:hAnsi="Times New Roman"/>
                <w:sz w:val="22"/>
                <w:szCs w:val="22"/>
              </w:rPr>
            </w:pPr>
            <w:r>
              <w:rPr>
                <w:rFonts w:ascii="Times New Roman" w:hAnsi="Times New Roman"/>
                <w:sz w:val="22"/>
                <w:szCs w:val="22"/>
              </w:rPr>
            </w:r>
          </w:p>
          <w:p>
            <w:pPr>
              <w:pStyle w:val="Style20"/>
              <w:widowControl w:val="false"/>
              <w:shd w:val="clear" w:color="auto" w:fill="FFFFFF"/>
              <w:spacing w:lineRule="auto" w:line="240" w:before="0" w:after="150"/>
              <w:ind w:hanging="2"/>
              <w:jc w:val="left"/>
              <w:rPr>
                <w:rFonts w:ascii="Times New Roman" w:hAnsi="Times New Roman" w:cs="Times New Roman"/>
                <w:color w:val="333333"/>
                <w:sz w:val="22"/>
                <w:szCs w:val="22"/>
              </w:rPr>
            </w:pPr>
            <w:r>
              <w:rPr>
                <w:rFonts w:cs="Times New Roman" w:ascii="Times New Roman" w:hAnsi="Times New Roman"/>
                <w:color w:val="333333"/>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pPr>
              <w:pStyle w:val="Style20"/>
              <w:widowControl w:val="false"/>
              <w:spacing w:lineRule="auto" w:line="240" w:before="0" w:after="140"/>
              <w:jc w:val="left"/>
              <w:rPr>
                <w:rFonts w:ascii="Times New Roman" w:hAnsi="Times New Roman"/>
                <w:sz w:val="22"/>
                <w:szCs w:val="22"/>
              </w:rPr>
            </w:pPr>
            <w:r>
              <w:rPr>
                <w:rFonts w:ascii="Times New Roman" w:hAnsi="Times New Roman"/>
                <w:sz w:val="22"/>
                <w:szCs w:val="22"/>
              </w:rPr>
              <w:br/>
            </w:r>
          </w:p>
        </w:tc>
      </w:tr>
    </w:tbl>
    <w:p>
      <w:pPr>
        <w:pStyle w:val="Style20"/>
        <w:spacing w:lineRule="auto" w:line="240" w:before="0" w:after="0"/>
        <w:ind w:firstLine="567"/>
        <w:rPr/>
      </w:pPr>
      <w:r>
        <w:rPr>
          <w:rFonts w:cs="Times New Roman" w:ascii="Times New Roman" w:hAnsi="Times New Roman"/>
          <w:b/>
          <w:color w:val="000000"/>
          <w:sz w:val="22"/>
          <w:szCs w:val="22"/>
        </w:rPr>
        <w:t>Додаткова інформація:</w:t>
      </w:r>
    </w:p>
    <w:p>
      <w:pPr>
        <w:pStyle w:val="Normal"/>
        <w:ind w:firstLine="567"/>
        <w:jc w:val="both"/>
        <w:rPr>
          <w:lang w:val="uk-UA"/>
        </w:rPr>
      </w:pPr>
      <w:r>
        <w:rPr>
          <w:color w:val="000000"/>
          <w:sz w:val="22"/>
          <w:szCs w:val="22"/>
          <w:lang w:val="uk-UA"/>
        </w:rPr>
        <w:t>Учасник процедури закупівлі підтверджує відсутність підстав, зазначених в статею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pPr>
      <w:r>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зазначених  статею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Постанови.</w:t>
      </w:r>
    </w:p>
    <w:p>
      <w:pPr>
        <w:pStyle w:val="Style20"/>
        <w:shd w:val="clear" w:color="auto" w:fill="FFFFFF"/>
        <w:spacing w:lineRule="auto" w:line="240" w:before="0" w:after="0"/>
        <w:ind w:firstLine="567"/>
        <w:rPr/>
      </w:pPr>
      <w:r>
        <w:rPr>
          <w:rFonts w:cs="Times New Roman" w:ascii="Times New Roman" w:hAnsi="Times New Roman"/>
          <w:color w:val="000000"/>
          <w:sz w:val="22"/>
          <w:szCs w:val="22"/>
        </w:rPr>
        <w:t>Переможець процедури закупівлі у строк, що не перевищує</w:t>
      </w:r>
      <w:r>
        <w:rPr>
          <w:rFonts w:cs="Times New Roman" w:ascii="Times New Roman" w:hAnsi="Times New Roman"/>
          <w:b/>
          <w:bCs/>
          <w:color w:val="000000"/>
          <w:sz w:val="22"/>
          <w:szCs w:val="22"/>
        </w:rPr>
        <w:t xml:space="preserve"> чотири дні </w:t>
      </w:r>
      <w:r>
        <w:rPr>
          <w:rFonts w:cs="Times New Roman" w:ascii="Times New Roman" w:hAnsi="Times New Roman"/>
          <w:color w:val="000000"/>
          <w:sz w:val="22"/>
          <w:szCs w:val="22"/>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fldChar w:fldCharType="begin"/>
      </w:r>
      <w:r>
        <w:rPr>
          <w:sz w:val="22"/>
          <w:u w:val="single"/>
          <w:szCs w:val="22"/>
          <w:rFonts w:cs="Times New Roman" w:ascii="Times New Roman" w:hAnsi="Times New Roman"/>
          <w:color w:val="000000"/>
        </w:rPr>
        <w:instrText> HYPERLINK "https://zakon.rada.gov.ua/laws/show/922-19" \l "n1264"</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 xml:space="preserve">пунктами </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u w:val="single"/>
        </w:rPr>
        <w:t>2,</w:t>
      </w:r>
      <w:r>
        <w:rPr>
          <w:rFonts w:cs="Times New Roman" w:ascii="Times New Roman" w:hAnsi="Times New Roman"/>
          <w:color w:val="000000"/>
          <w:sz w:val="22"/>
          <w:szCs w:val="22"/>
        </w:rPr>
        <w:t> </w:t>
      </w:r>
      <w:r>
        <w:fldChar w:fldCharType="begin"/>
      </w:r>
      <w:r>
        <w:rPr>
          <w:sz w:val="22"/>
          <w:u w:val="single"/>
          <w:szCs w:val="22"/>
          <w:rFonts w:cs="Times New Roman" w:ascii="Times New Roman" w:hAnsi="Times New Roman"/>
          <w:color w:val="000000"/>
        </w:rPr>
        <w:instrText> HYPERLINK "https://zakon.rada.gov.ua/laws/show/922-19" \l "n1265"</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3</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rPr>
        <w:t>, </w:t>
      </w:r>
      <w:r>
        <w:fldChar w:fldCharType="begin"/>
      </w:r>
      <w:r>
        <w:rPr>
          <w:sz w:val="22"/>
          <w:u w:val="single"/>
          <w:szCs w:val="22"/>
          <w:rFonts w:cs="Times New Roman" w:ascii="Times New Roman" w:hAnsi="Times New Roman"/>
          <w:color w:val="000000"/>
        </w:rPr>
        <w:instrText> HYPERLINK "https://zakon.rada.gov.ua/laws/show/922-19" \l "n1267"</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5</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rPr>
        <w:t>, </w:t>
      </w:r>
      <w:r>
        <w:fldChar w:fldCharType="begin"/>
      </w:r>
      <w:r>
        <w:rPr>
          <w:sz w:val="22"/>
          <w:u w:val="single"/>
          <w:szCs w:val="22"/>
          <w:rFonts w:cs="Times New Roman" w:ascii="Times New Roman" w:hAnsi="Times New Roman"/>
          <w:color w:val="000000"/>
        </w:rPr>
        <w:instrText> HYPERLINK "https://zakon.rada.gov.ua/laws/show/922-19" \l "n1268"</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6</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u w:val="single"/>
        </w:rPr>
        <w:t>,</w:t>
      </w:r>
      <w:r>
        <w:rPr>
          <w:rFonts w:cs="Times New Roman" w:ascii="Times New Roman" w:hAnsi="Times New Roman"/>
          <w:color w:val="000000"/>
          <w:sz w:val="22"/>
          <w:szCs w:val="22"/>
        </w:rPr>
        <w:t xml:space="preserve"> і </w:t>
      </w:r>
      <w:r>
        <w:fldChar w:fldCharType="begin"/>
      </w:r>
      <w:r>
        <w:rPr>
          <w:sz w:val="22"/>
          <w:u w:val="single"/>
          <w:szCs w:val="22"/>
          <w:rFonts w:cs="Times New Roman" w:ascii="Times New Roman" w:hAnsi="Times New Roman"/>
          <w:color w:val="000000"/>
        </w:rPr>
        <w:instrText> HYPERLINK "https://zakon.rada.gov.ua/laws/show/922-19" \l "n1275"</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12 частини першої</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u w:val="single"/>
        </w:rPr>
        <w:t xml:space="preserve"> </w:t>
      </w:r>
      <w:r>
        <w:rPr>
          <w:rFonts w:cs="Times New Roman" w:ascii="Times New Roman" w:hAnsi="Times New Roman"/>
          <w:color w:val="000000"/>
          <w:sz w:val="22"/>
          <w:szCs w:val="22"/>
        </w:rPr>
        <w:t xml:space="preserve">та </w:t>
      </w:r>
      <w:r>
        <w:fldChar w:fldCharType="begin"/>
      </w:r>
      <w:r>
        <w:rPr>
          <w:sz w:val="22"/>
          <w:u w:val="single"/>
          <w:szCs w:val="22"/>
          <w:rFonts w:cs="Times New Roman" w:ascii="Times New Roman" w:hAnsi="Times New Roman"/>
          <w:color w:val="000000"/>
        </w:rPr>
        <w:instrText> HYPERLINK "https://zakon.rada.gov.ua/laws/show/922-19" \l "n1276"</w:instrText>
      </w:r>
      <w:r>
        <w:rPr>
          <w:sz w:val="22"/>
          <w:u w:val="single"/>
          <w:szCs w:val="22"/>
          <w:rFonts w:cs="Times New Roman" w:ascii="Times New Roman" w:hAnsi="Times New Roman"/>
          <w:color w:val="000000"/>
        </w:rPr>
        <w:fldChar w:fldCharType="separate"/>
      </w:r>
      <w:r>
        <w:rPr>
          <w:rFonts w:cs="Times New Roman" w:ascii="Times New Roman" w:hAnsi="Times New Roman"/>
          <w:color w:val="000000"/>
          <w:sz w:val="22"/>
          <w:szCs w:val="22"/>
          <w:u w:val="single"/>
        </w:rPr>
        <w:t>частиною другою</w:t>
      </w:r>
      <w:r>
        <w:rPr>
          <w:sz w:val="22"/>
          <w:u w:val="single"/>
          <w:szCs w:val="22"/>
          <w:rFonts w:cs="Times New Roman" w:ascii="Times New Roman" w:hAnsi="Times New Roman"/>
          <w:color w:val="000000"/>
        </w:rPr>
        <w:fldChar w:fldCharType="end"/>
      </w:r>
      <w:r>
        <w:rPr>
          <w:rFonts w:cs="Times New Roman" w:ascii="Times New Roman" w:hAnsi="Times New Roman"/>
          <w:color w:val="000000"/>
          <w:sz w:val="22"/>
          <w:szCs w:val="22"/>
        </w:rPr>
        <w:t xml:space="preserve"> ст.17 Закону.</w:t>
      </w:r>
    </w:p>
    <w:p>
      <w:pPr>
        <w:pStyle w:val="Style20"/>
        <w:shd w:val="clear" w:color="auto" w:fill="FFFFFF"/>
        <w:spacing w:lineRule="auto" w:line="240" w:before="0" w:after="0"/>
        <w:ind w:firstLine="567"/>
        <w:rPr>
          <w:rFonts w:ascii="Times New Roman" w:hAnsi="Times New Roman"/>
          <w:sz w:val="22"/>
          <w:szCs w:val="22"/>
        </w:rPr>
      </w:pPr>
      <w:r>
        <w:rPr>
          <w:rFonts w:ascii="Times New Roman" w:hAnsi="Times New Roman"/>
          <w:sz w:val="22"/>
          <w:szCs w:val="22"/>
        </w:rPr>
      </w:r>
    </w:p>
    <w:p>
      <w:pPr>
        <w:sectPr>
          <w:headerReference w:type="default" r:id="rId16"/>
          <w:type w:val="nextPage"/>
          <w:pgSz w:w="11906" w:h="16838"/>
          <w:pgMar w:left="1036" w:right="707" w:header="397" w:top="993" w:footer="0" w:bottom="1134" w:gutter="0"/>
          <w:pgNumType w:fmt="decimal"/>
          <w:formProt w:val="false"/>
          <w:textDirection w:val="lrTb"/>
          <w:docGrid w:type="default" w:linePitch="360" w:charSpace="0"/>
        </w:sectPr>
        <w:pStyle w:val="15"/>
        <w:spacing w:lineRule="auto" w:line="240" w:before="0" w:after="0"/>
        <w:rPr/>
      </w:pPr>
      <w:r>
        <w:rPr>
          <w:rFonts w:cs="Times New Roman" w:ascii="Times New Roman" w:hAnsi="Times New Roman"/>
          <w:color w:val="000000"/>
          <w:sz w:val="22"/>
          <w:szCs w:val="22"/>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15"/>
        <w:tabs>
          <w:tab w:val="clear" w:pos="720"/>
          <w:tab w:val="left" w:pos="180" w:leader="none"/>
        </w:tabs>
        <w:ind w:left="0" w:right="-25" w:firstLine="737"/>
        <w:jc w:val="right"/>
        <w:rPr>
          <w:rFonts w:eastAsia="Calibri"/>
          <w:b/>
          <w:b/>
          <w:color w:val="000000"/>
          <w:sz w:val="24"/>
          <w:szCs w:val="24"/>
          <w:u w:val="single"/>
          <w:lang w:val="uk-UA"/>
        </w:rPr>
      </w:pPr>
      <w:r>
        <w:rPr>
          <w:rFonts w:eastAsia="Calibri" w:cs="Times New Roman" w:ascii="Times New Roman" w:hAnsi="Times New Roman"/>
          <w:b/>
          <w:color w:val="000000"/>
          <w:sz w:val="22"/>
          <w:szCs w:val="22"/>
          <w:u w:val="single"/>
          <w:shd w:fill="auto" w:val="clear"/>
          <w:lang w:val="uk-UA"/>
        </w:rPr>
        <w:t>ДОДАТОК 3</w:t>
      </w:r>
    </w:p>
    <w:p>
      <w:pPr>
        <w:pStyle w:val="15"/>
        <w:tabs>
          <w:tab w:val="clear" w:pos="720"/>
          <w:tab w:val="left" w:pos="180" w:leader="none"/>
        </w:tabs>
        <w:ind w:left="0" w:right="-25" w:firstLine="737"/>
        <w:jc w:val="right"/>
        <w:rPr>
          <w:rFonts w:ascii="Times New Roman" w:hAnsi="Times New Roman" w:cs="Times New Roman"/>
          <w:b/>
          <w:b/>
          <w:sz w:val="22"/>
          <w:szCs w:val="22"/>
          <w:shd w:fill="auto" w:val="clear"/>
        </w:rPr>
      </w:pPr>
      <w:r>
        <w:rPr>
          <w:rFonts w:cs="Times New Roman" w:ascii="Times New Roman" w:hAnsi="Times New Roman"/>
          <w:b/>
          <w:sz w:val="22"/>
          <w:szCs w:val="22"/>
          <w:shd w:fill="auto" w:val="clear"/>
        </w:rPr>
        <w:t>До тендерної документації</w:t>
      </w:r>
    </w:p>
    <w:p>
      <w:pPr>
        <w:pStyle w:val="15"/>
        <w:tabs>
          <w:tab w:val="clear" w:pos="720"/>
          <w:tab w:val="left" w:pos="180" w:leader="none"/>
        </w:tabs>
        <w:ind w:left="0" w:right="-25" w:firstLine="737"/>
        <w:jc w:val="right"/>
        <w:rPr>
          <w:rFonts w:ascii="Times New Roman" w:hAnsi="Times New Roman" w:cs="Times New Roman"/>
          <w:sz w:val="22"/>
          <w:szCs w:val="22"/>
          <w:shd w:fill="auto" w:val="clear"/>
        </w:rPr>
      </w:pPr>
      <w:r>
        <w:rPr>
          <w:rFonts w:cs="Times New Roman" w:ascii="Times New Roman" w:hAnsi="Times New Roman"/>
          <w:sz w:val="22"/>
          <w:szCs w:val="22"/>
          <w:shd w:fill="auto" w:val="clear"/>
        </w:rPr>
      </w:r>
    </w:p>
    <w:p>
      <w:pPr>
        <w:pStyle w:val="15"/>
        <w:tabs>
          <w:tab w:val="clear" w:pos="720"/>
          <w:tab w:val="left" w:pos="9639" w:leader="none"/>
        </w:tabs>
        <w:ind w:left="0" w:right="0" w:hanging="0"/>
        <w:jc w:val="center"/>
        <w:rPr>
          <w:rFonts w:ascii="Times New Roman" w:hAnsi="Times New Roman" w:eastAsia="Calibri" w:cs="Times New Roman"/>
          <w:b/>
          <w:b/>
          <w:bCs/>
          <w:color w:val="000000"/>
          <w:sz w:val="22"/>
          <w:szCs w:val="22"/>
          <w:u w:val="single"/>
          <w:shd w:fill="auto" w:val="clear"/>
          <w:lang w:eastAsia="en-US"/>
        </w:rPr>
      </w:pPr>
      <w:r>
        <w:rPr>
          <w:rFonts w:eastAsia="Calibri" w:cs="Times New Roman" w:ascii="Times New Roman" w:hAnsi="Times New Roman"/>
          <w:b/>
          <w:bCs/>
          <w:color w:val="000000"/>
          <w:sz w:val="22"/>
          <w:szCs w:val="22"/>
          <w:u w:val="single"/>
          <w:shd w:fill="auto" w:val="clear"/>
          <w:lang w:eastAsia="en-US"/>
        </w:rPr>
        <w:t>Технічна специфікація, інформація про необхідні технічні, якісні та кількісні характеристики предмета закупівлі</w:t>
      </w:r>
    </w:p>
    <w:p>
      <w:pPr>
        <w:pStyle w:val="Normal"/>
        <w:spacing w:before="120" w:after="0"/>
        <w:jc w:val="center"/>
        <w:rPr>
          <w:rFonts w:eastAsia="Calibri"/>
          <w:b/>
          <w:b/>
          <w:bCs/>
          <w:color w:val="000000"/>
          <w:sz w:val="24"/>
          <w:szCs w:val="24"/>
          <w:shd w:fill="auto" w:val="clear"/>
          <w:lang w:val="uk-UA"/>
        </w:rPr>
      </w:pPr>
      <w:r>
        <w:rPr>
          <w:rFonts w:eastAsia="Calibri"/>
          <w:b/>
          <w:bCs/>
          <w:color w:val="000000"/>
          <w:sz w:val="24"/>
          <w:szCs w:val="24"/>
          <w:shd w:fill="auto" w:val="clear"/>
          <w:lang w:val="uk-UA"/>
        </w:rPr>
        <w:t>Послуги з калібрування засобів вимірювальної техніки  Код ДК 021:2015 50430000-8 Послуги з ремонтування і технічного обслуговування високоточного обладнання</w:t>
      </w:r>
    </w:p>
    <w:p>
      <w:pPr>
        <w:pStyle w:val="Normal"/>
        <w:suppressAutoHyphens w:val="true"/>
        <w:spacing w:lineRule="auto" w:line="240" w:before="0" w:after="0"/>
        <w:jc w:val="both"/>
        <w:rPr>
          <w:rFonts w:eastAsia="Times New Roman" w:cs="Times New Roman"/>
          <w:b w:val="false"/>
          <w:b w:val="false"/>
          <w:bCs/>
          <w:color w:val="00000A"/>
          <w:sz w:val="24"/>
          <w:szCs w:val="24"/>
          <w:u w:val="none"/>
          <w:shd w:fill="auto" w:val="clear"/>
          <w:lang w:val="uk-UA" w:eastAsia="uk-UA" w:bidi="ar-SA"/>
        </w:rPr>
      </w:pPr>
      <w:r>
        <w:rPr>
          <w:rFonts w:eastAsia="Times New Roman" w:cs="Times New Roman"/>
          <w:b w:val="false"/>
          <w:bCs/>
          <w:color w:val="00000A"/>
          <w:sz w:val="24"/>
          <w:szCs w:val="24"/>
          <w:u w:val="none"/>
          <w:shd w:fill="auto" w:val="clear"/>
          <w:lang w:val="uk-UA" w:eastAsia="uk-UA" w:bidi="ar-SA"/>
        </w:rPr>
      </w:r>
    </w:p>
    <w:p>
      <w:pPr>
        <w:pStyle w:val="Normal"/>
        <w:suppressAutoHyphens w:val="true"/>
        <w:spacing w:lineRule="auto" w:line="240" w:before="0" w:after="0"/>
        <w:jc w:val="both"/>
        <w:rPr>
          <w:rFonts w:eastAsia="Times New Roman" w:cs="Times New Roman"/>
          <w:b w:val="false"/>
          <w:b w:val="false"/>
          <w:bCs/>
          <w:color w:val="00000A"/>
          <w:sz w:val="24"/>
          <w:szCs w:val="24"/>
          <w:u w:val="none"/>
          <w:shd w:fill="auto" w:val="clear"/>
          <w:lang w:val="uk-UA" w:eastAsia="uk-UA" w:bidi="ar-SA"/>
        </w:rPr>
      </w:pPr>
      <w:r>
        <w:rPr>
          <w:rFonts w:eastAsia="Times New Roman" w:cs="Times New Roman"/>
          <w:b w:val="false"/>
          <w:bCs/>
          <w:color w:val="00000A"/>
          <w:sz w:val="24"/>
          <w:szCs w:val="24"/>
          <w:u w:val="none"/>
          <w:shd w:fill="auto" w:val="clear"/>
          <w:lang w:val="uk-UA" w:eastAsia="uk-UA" w:bidi="ar-SA"/>
        </w:rPr>
      </w:r>
    </w:p>
    <w:tbl>
      <w:tblPr>
        <w:tblW w:w="10385" w:type="dxa"/>
        <w:jc w:val="left"/>
        <w:tblInd w:w="55" w:type="dxa"/>
        <w:tblLayout w:type="fixed"/>
        <w:tblCellMar>
          <w:top w:w="55" w:type="dxa"/>
          <w:left w:w="55" w:type="dxa"/>
          <w:bottom w:w="55" w:type="dxa"/>
          <w:right w:w="55" w:type="dxa"/>
        </w:tblCellMar>
      </w:tblPr>
      <w:tblGrid>
        <w:gridCol w:w="395"/>
        <w:gridCol w:w="3233"/>
        <w:gridCol w:w="1822"/>
        <w:gridCol w:w="1442"/>
        <w:gridCol w:w="1828"/>
        <w:gridCol w:w="1664"/>
      </w:tblGrid>
      <w:tr>
        <w:trPr>
          <w:tblHeader w:val="true"/>
        </w:trPr>
        <w:tc>
          <w:tcPr>
            <w:tcW w:w="395" w:type="dxa"/>
            <w:tcBorders>
              <w:top w:val="single" w:sz="8" w:space="0" w:color="000000"/>
              <w:left w:val="single" w:sz="8" w:space="0" w:color="000000"/>
              <w:bottom w:val="single" w:sz="8" w:space="0" w:color="000000"/>
            </w:tcBorders>
          </w:tcPr>
          <w:p>
            <w:pPr>
              <w:pStyle w:val="Style37"/>
              <w:widowControl w:val="false"/>
              <w:spacing w:before="0" w:after="0"/>
              <w:ind w:left="0" w:right="0" w:hanging="0"/>
              <w:jc w:val="center"/>
              <w:rPr>
                <w:rFonts w:ascii="Times New Roman" w:hAnsi="Times New Roman"/>
                <w:i w:val="false"/>
                <w:i w:val="false"/>
                <w:sz w:val="16"/>
                <w:szCs w:val="20"/>
                <w:lang w:val="uk-UA"/>
              </w:rPr>
            </w:pPr>
            <w:r>
              <w:rPr>
                <w:i w:val="false"/>
                <w:sz w:val="16"/>
                <w:szCs w:val="20"/>
                <w:lang w:val="uk-UA"/>
              </w:rPr>
              <w:t>№</w:t>
            </w:r>
          </w:p>
          <w:p>
            <w:pPr>
              <w:pStyle w:val="Style37"/>
              <w:widowControl w:val="false"/>
              <w:spacing w:before="0" w:after="0"/>
              <w:ind w:left="0" w:right="0" w:hanging="0"/>
              <w:jc w:val="center"/>
              <w:rPr>
                <w:rFonts w:ascii="Times New Roman" w:hAnsi="Times New Roman"/>
                <w:i w:val="false"/>
                <w:i w:val="false"/>
                <w:sz w:val="16"/>
                <w:szCs w:val="20"/>
                <w:lang w:val="uk-UA"/>
              </w:rPr>
            </w:pPr>
            <w:r>
              <w:rPr>
                <w:i w:val="false"/>
                <w:sz w:val="16"/>
                <w:szCs w:val="20"/>
                <w:lang w:val="uk-UA"/>
              </w:rPr>
              <w:t>з/п</w:t>
            </w:r>
          </w:p>
        </w:tc>
        <w:tc>
          <w:tcPr>
            <w:tcW w:w="3233" w:type="dxa"/>
            <w:tcBorders>
              <w:top w:val="single" w:sz="8" w:space="0" w:color="000000"/>
              <w:left w:val="single" w:sz="8" w:space="0" w:color="000000"/>
              <w:bottom w:val="single" w:sz="8" w:space="0" w:color="000000"/>
            </w:tcBorders>
          </w:tcPr>
          <w:p>
            <w:pPr>
              <w:pStyle w:val="Style37"/>
              <w:widowControl w:val="false"/>
              <w:spacing w:before="0" w:after="0"/>
              <w:ind w:left="0" w:right="0" w:hanging="0"/>
              <w:jc w:val="center"/>
              <w:rPr>
                <w:rFonts w:ascii="Times New Roman" w:hAnsi="Times New Roman"/>
                <w:i w:val="false"/>
                <w:i w:val="false"/>
                <w:sz w:val="16"/>
                <w:szCs w:val="20"/>
                <w:lang w:val="uk-UA"/>
              </w:rPr>
            </w:pPr>
            <w:r>
              <w:rPr>
                <w:i w:val="false"/>
                <w:sz w:val="16"/>
                <w:szCs w:val="20"/>
                <w:lang w:val="uk-UA"/>
              </w:rPr>
              <w:t>Тип та назва еталону</w:t>
            </w:r>
          </w:p>
        </w:tc>
        <w:tc>
          <w:tcPr>
            <w:tcW w:w="1822" w:type="dxa"/>
            <w:tcBorders>
              <w:top w:val="single" w:sz="8" w:space="0" w:color="000000"/>
              <w:left w:val="single" w:sz="8" w:space="0" w:color="000000"/>
              <w:bottom w:val="single" w:sz="8" w:space="0" w:color="000000"/>
            </w:tcBorders>
          </w:tcPr>
          <w:p>
            <w:pPr>
              <w:pStyle w:val="Style37"/>
              <w:widowControl w:val="false"/>
              <w:spacing w:before="0" w:after="0"/>
              <w:ind w:left="0" w:right="0" w:hanging="0"/>
              <w:jc w:val="center"/>
              <w:rPr>
                <w:rFonts w:ascii="Times New Roman" w:hAnsi="Times New Roman"/>
                <w:i w:val="false"/>
                <w:i w:val="false"/>
                <w:sz w:val="16"/>
                <w:szCs w:val="20"/>
                <w:lang w:val="uk-UA"/>
              </w:rPr>
            </w:pPr>
            <w:r>
              <w:rPr>
                <w:i w:val="false"/>
                <w:sz w:val="16"/>
                <w:szCs w:val="20"/>
                <w:lang w:val="uk-UA"/>
              </w:rPr>
              <w:t>Умовне позначення</w:t>
            </w:r>
          </w:p>
        </w:tc>
        <w:tc>
          <w:tcPr>
            <w:tcW w:w="1442" w:type="dxa"/>
            <w:tcBorders>
              <w:top w:val="single" w:sz="8" w:space="0" w:color="000000"/>
              <w:left w:val="single" w:sz="8" w:space="0" w:color="000000"/>
              <w:bottom w:val="single" w:sz="8" w:space="0" w:color="000000"/>
            </w:tcBorders>
          </w:tcPr>
          <w:p>
            <w:pPr>
              <w:pStyle w:val="Style37"/>
              <w:widowControl w:val="false"/>
              <w:spacing w:before="0" w:after="0"/>
              <w:ind w:left="0" w:right="0" w:hanging="0"/>
              <w:jc w:val="center"/>
              <w:rPr>
                <w:rFonts w:ascii="Times New Roman" w:hAnsi="Times New Roman"/>
                <w:i w:val="false"/>
                <w:i w:val="false"/>
                <w:sz w:val="16"/>
                <w:szCs w:val="20"/>
                <w:lang w:val="uk-UA"/>
              </w:rPr>
            </w:pPr>
            <w:r>
              <w:rPr>
                <w:i w:val="false"/>
                <w:sz w:val="16"/>
                <w:szCs w:val="20"/>
                <w:lang w:val="uk-UA"/>
              </w:rPr>
              <w:t>Зав.№</w:t>
            </w:r>
          </w:p>
        </w:tc>
        <w:tc>
          <w:tcPr>
            <w:tcW w:w="1828" w:type="dxa"/>
            <w:tcBorders>
              <w:top w:val="single" w:sz="8" w:space="0" w:color="000000"/>
              <w:left w:val="single" w:sz="8" w:space="0" w:color="000000"/>
              <w:bottom w:val="single" w:sz="8" w:space="0" w:color="000000"/>
            </w:tcBorders>
          </w:tcPr>
          <w:p>
            <w:pPr>
              <w:pStyle w:val="Style37"/>
              <w:widowControl w:val="false"/>
              <w:spacing w:before="0" w:after="0"/>
              <w:ind w:left="0" w:right="0" w:hanging="0"/>
              <w:jc w:val="center"/>
              <w:rPr>
                <w:rFonts w:ascii="Times New Roman" w:hAnsi="Times New Roman"/>
                <w:i w:val="false"/>
                <w:i w:val="false"/>
                <w:sz w:val="16"/>
                <w:szCs w:val="20"/>
                <w:lang w:val="uk-UA"/>
              </w:rPr>
            </w:pPr>
            <w:r>
              <w:rPr>
                <w:i w:val="false"/>
                <w:sz w:val="16"/>
                <w:szCs w:val="20"/>
                <w:lang w:val="uk-UA"/>
              </w:rPr>
              <w:t>Радіонуклідний склад</w:t>
            </w:r>
          </w:p>
        </w:tc>
        <w:tc>
          <w:tcPr>
            <w:tcW w:w="1664" w:type="dxa"/>
            <w:tcBorders>
              <w:top w:val="single" w:sz="8" w:space="0" w:color="000000"/>
              <w:left w:val="single" w:sz="8" w:space="0" w:color="000000"/>
              <w:bottom w:val="single" w:sz="8" w:space="0" w:color="000000"/>
              <w:right w:val="single" w:sz="8" w:space="0" w:color="000000"/>
            </w:tcBorders>
          </w:tcPr>
          <w:p>
            <w:pPr>
              <w:pStyle w:val="Style37"/>
              <w:widowControl w:val="false"/>
              <w:spacing w:before="0" w:after="0"/>
              <w:ind w:left="0" w:right="0" w:hanging="0"/>
              <w:jc w:val="center"/>
              <w:rPr>
                <w:rFonts w:ascii="Times New Roman" w:hAnsi="Times New Roman"/>
                <w:i w:val="false"/>
                <w:i w:val="false"/>
                <w:sz w:val="16"/>
                <w:szCs w:val="20"/>
                <w:lang w:val="uk-UA"/>
              </w:rPr>
            </w:pPr>
            <w:r>
              <w:rPr>
                <w:i w:val="false"/>
                <w:sz w:val="16"/>
                <w:szCs w:val="20"/>
                <w:lang w:val="uk-UA"/>
              </w:rPr>
              <w:t>Розширена невизначеність,</w:t>
            </w:r>
          </w:p>
          <w:p>
            <w:pPr>
              <w:pStyle w:val="Style37"/>
              <w:widowControl w:val="false"/>
              <w:spacing w:before="0" w:after="0"/>
              <w:ind w:left="0" w:right="0" w:hanging="0"/>
              <w:jc w:val="center"/>
              <w:rPr>
                <w:rFonts w:ascii="Times New Roman" w:hAnsi="Times New Roman"/>
                <w:i w:val="false"/>
                <w:i w:val="false"/>
                <w:sz w:val="16"/>
                <w:szCs w:val="20"/>
                <w:lang w:val="uk-UA"/>
              </w:rPr>
            </w:pPr>
            <w:r>
              <w:rPr>
                <w:i w:val="false"/>
                <w:sz w:val="16"/>
                <w:szCs w:val="20"/>
                <w:lang w:val="uk-UA"/>
              </w:rPr>
              <w:t>U % (к=2, Р=0,95)</w:t>
            </w:r>
          </w:p>
        </w:tc>
      </w:tr>
      <w:tr>
        <w:trPr/>
        <w:tc>
          <w:tcPr>
            <w:tcW w:w="395" w:type="dxa"/>
            <w:tcBorders>
              <w:left w:val="single" w:sz="8" w:space="0" w:color="000000"/>
              <w:bottom w:val="single" w:sz="8" w:space="0" w:color="000000"/>
            </w:tcBorders>
          </w:tcPr>
          <w:p>
            <w:pPr>
              <w:pStyle w:val="Style36"/>
              <w:widowControl w:val="false"/>
              <w:numPr>
                <w:ilvl w:val="0"/>
                <w:numId w:val="0"/>
              </w:numPr>
              <w:spacing w:lineRule="auto" w:line="240" w:before="0" w:after="0"/>
              <w:ind w:left="0" w:right="0" w:hanging="0"/>
              <w:jc w:val="center"/>
              <w:rPr>
                <w:rFonts w:ascii="Times New Roman" w:hAnsi="Times New Roman"/>
                <w:b w:val="false"/>
                <w:b w:val="false"/>
                <w:bCs w:val="false"/>
                <w:i w:val="false"/>
                <w:i w:val="false"/>
                <w:position w:val="0"/>
                <w:sz w:val="22"/>
                <w:sz w:val="22"/>
                <w:szCs w:val="22"/>
                <w:vertAlign w:val="baseline"/>
                <w:lang w:val="uk-UA"/>
              </w:rPr>
            </w:pPr>
            <w:r>
              <w:rPr>
                <w:b w:val="false"/>
                <w:bCs w:val="false"/>
                <w:i w:val="false"/>
                <w:position w:val="0"/>
                <w:sz w:val="22"/>
                <w:sz w:val="22"/>
                <w:szCs w:val="22"/>
                <w:vertAlign w:val="baseline"/>
                <w:lang w:val="uk-UA"/>
              </w:rPr>
              <w:t>1</w:t>
            </w:r>
          </w:p>
        </w:tc>
        <w:tc>
          <w:tcPr>
            <w:tcW w:w="3233" w:type="dxa"/>
            <w:tcBorders>
              <w:left w:val="single" w:sz="8" w:space="0" w:color="000000"/>
              <w:bottom w:val="single" w:sz="8" w:space="0" w:color="000000"/>
            </w:tcBorders>
          </w:tcPr>
          <w:p>
            <w:pPr>
              <w:pStyle w:val="Style36"/>
              <w:widowControl w:val="false"/>
              <w:tabs>
                <w:tab w:val="clear" w:pos="720"/>
              </w:tabs>
              <w:spacing w:lineRule="auto" w:line="240" w:before="0" w:after="0"/>
              <w:ind w:left="0" w:right="0" w:hanging="0"/>
              <w:jc w:val="left"/>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Комплект джерел альфа-випромінення типу ОСАИ-М</w:t>
            </w:r>
          </w:p>
        </w:tc>
        <w:tc>
          <w:tcPr>
            <w:tcW w:w="1822" w:type="dxa"/>
            <w:tcBorders>
              <w:left w:val="single" w:sz="8" w:space="0" w:color="000000"/>
              <w:bottom w:val="single" w:sz="8" w:space="0" w:color="000000"/>
            </w:tcBorders>
            <w:vAlign w:val="center"/>
          </w:tcPr>
          <w:p>
            <w:pPr>
              <w:pStyle w:val="Normal"/>
              <w:widowControl w:val="false"/>
              <w:spacing w:before="0" w:after="0"/>
              <w:ind w:left="0" w:right="0" w:hanging="0"/>
              <w:jc w:val="center"/>
              <w:rPr>
                <w:position w:val="0"/>
                <w:sz w:val="22"/>
                <w:sz w:val="22"/>
                <w:szCs w:val="22"/>
                <w:vertAlign w:val="baseline"/>
                <w:lang w:val="uk-UA"/>
              </w:rPr>
            </w:pPr>
            <w:r>
              <w:rPr>
                <w:position w:val="0"/>
                <w:sz w:val="22"/>
                <w:sz w:val="22"/>
                <w:szCs w:val="22"/>
                <w:vertAlign w:val="baseline"/>
                <w:lang w:val="uk-UA"/>
              </w:rPr>
              <w:t>ОСАИ-М</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i w:val="false"/>
                <w:i w:val="false"/>
                <w:position w:val="0"/>
                <w:sz w:val="22"/>
                <w:sz w:val="22"/>
                <w:szCs w:val="22"/>
                <w:vertAlign w:val="baseline"/>
                <w:lang w:val="uk-UA"/>
              </w:rPr>
            </w:pPr>
            <w:r>
              <w:rPr>
                <w:i w:val="false"/>
                <w:position w:val="0"/>
                <w:sz w:val="22"/>
                <w:sz w:val="22"/>
                <w:szCs w:val="22"/>
                <w:vertAlign w:val="baseline"/>
                <w:lang w:val="uk-UA"/>
              </w:rPr>
              <w:t>1371</w:t>
            </w:r>
          </w:p>
          <w:p>
            <w:pPr>
              <w:pStyle w:val="Normal"/>
              <w:widowControl w:val="false"/>
              <w:tabs>
                <w:tab w:val="clear" w:pos="720"/>
              </w:tabs>
              <w:spacing w:before="0" w:after="0"/>
              <w:ind w:left="0" w:right="0" w:hanging="0"/>
              <w:jc w:val="center"/>
              <w:rPr>
                <w:rFonts w:ascii="Times New Roman" w:hAnsi="Times New Roman"/>
                <w:i w:val="false"/>
                <w:i w:val="false"/>
                <w:position w:val="0"/>
                <w:sz w:val="22"/>
                <w:sz w:val="22"/>
                <w:szCs w:val="22"/>
                <w:vertAlign w:val="baseline"/>
                <w:lang w:val="uk-UA"/>
              </w:rPr>
            </w:pPr>
            <w:r>
              <w:rPr>
                <w:i w:val="false"/>
                <w:position w:val="0"/>
                <w:sz w:val="22"/>
                <w:sz w:val="22"/>
                <w:szCs w:val="22"/>
                <w:vertAlign w:val="baseline"/>
                <w:lang w:val="uk-UA"/>
              </w:rPr>
              <w:t>(4 джерела)</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238</w:t>
            </w:r>
            <w:r>
              <w:rPr>
                <w:i w:val="false"/>
                <w:color w:val="000000"/>
                <w:sz w:val="22"/>
                <w:szCs w:val="22"/>
                <w:lang w:val="uk-UA"/>
              </w:rPr>
              <w:t>Pu</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239</w:t>
            </w:r>
            <w:r>
              <w:rPr>
                <w:i w:val="false"/>
                <w:color w:val="000000"/>
                <w:sz w:val="22"/>
                <w:szCs w:val="22"/>
                <w:lang w:val="uk-UA"/>
              </w:rPr>
              <w:t>Pu</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244</w:t>
            </w:r>
            <w:r>
              <w:rPr>
                <w:i w:val="false"/>
                <w:color w:val="000000"/>
                <w:sz w:val="22"/>
                <w:szCs w:val="22"/>
                <w:lang w:val="uk-UA"/>
              </w:rPr>
              <w:t>Cm</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233</w:t>
            </w:r>
            <w:r>
              <w:rPr>
                <w:i w:val="false"/>
                <w:color w:val="000000"/>
                <w:sz w:val="22"/>
                <w:szCs w:val="22"/>
                <w:lang w:val="uk-UA"/>
              </w:rPr>
              <w:t>U+</w:t>
            </w:r>
            <w:r>
              <w:rPr>
                <w:i w:val="false"/>
                <w:color w:val="000000"/>
                <w:sz w:val="22"/>
                <w:szCs w:val="22"/>
                <w:vertAlign w:val="superscript"/>
                <w:lang w:val="uk-UA"/>
              </w:rPr>
              <w:t>239</w:t>
            </w:r>
            <w:r>
              <w:rPr>
                <w:i w:val="false"/>
                <w:color w:val="000000"/>
                <w:sz w:val="22"/>
                <w:szCs w:val="22"/>
                <w:lang w:val="uk-UA"/>
              </w:rPr>
              <w:t>Pu+</w:t>
            </w:r>
            <w:r>
              <w:rPr>
                <w:i w:val="false"/>
                <w:color w:val="000000"/>
                <w:sz w:val="22"/>
                <w:szCs w:val="22"/>
                <w:vertAlign w:val="superscript"/>
                <w:lang w:val="uk-UA"/>
              </w:rPr>
              <w:t>238</w:t>
            </w:r>
            <w:r>
              <w:rPr>
                <w:i w:val="false"/>
                <w:color w:val="000000"/>
                <w:sz w:val="22"/>
                <w:szCs w:val="22"/>
                <w:lang w:val="uk-UA"/>
              </w:rPr>
              <w:t>Pu</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3,0</w:t>
            </w:r>
          </w:p>
        </w:tc>
      </w:tr>
      <w:tr>
        <w:trPr/>
        <w:tc>
          <w:tcPr>
            <w:tcW w:w="395" w:type="dxa"/>
            <w:tcBorders>
              <w:left w:val="single" w:sz="8" w:space="0" w:color="000000"/>
              <w:bottom w:val="single" w:sz="8" w:space="0" w:color="000000"/>
            </w:tcBorders>
          </w:tcPr>
          <w:p>
            <w:pPr>
              <w:pStyle w:val="Style36"/>
              <w:widowControl w:val="false"/>
              <w:numPr>
                <w:ilvl w:val="0"/>
                <w:numId w:val="0"/>
              </w:numPr>
              <w:spacing w:lineRule="auto" w:line="240" w:before="0" w:after="0"/>
              <w:ind w:left="0" w:right="0" w:hanging="0"/>
              <w:jc w:val="center"/>
              <w:rPr>
                <w:rFonts w:ascii="Times New Roman" w:hAnsi="Times New Roman"/>
                <w:b w:val="false"/>
                <w:b w:val="false"/>
                <w:bCs w:val="false"/>
                <w:i w:val="false"/>
                <w:i w:val="false"/>
                <w:position w:val="0"/>
                <w:sz w:val="22"/>
                <w:sz w:val="22"/>
                <w:szCs w:val="22"/>
                <w:vertAlign w:val="baseline"/>
                <w:lang w:val="uk-UA"/>
              </w:rPr>
            </w:pPr>
            <w:r>
              <w:rPr>
                <w:b w:val="false"/>
                <w:bCs w:val="false"/>
                <w:i w:val="false"/>
                <w:position w:val="0"/>
                <w:sz w:val="22"/>
                <w:sz w:val="22"/>
                <w:szCs w:val="22"/>
                <w:vertAlign w:val="baseline"/>
                <w:lang w:val="uk-UA"/>
              </w:rPr>
              <w:t>2</w:t>
            </w:r>
          </w:p>
        </w:tc>
        <w:tc>
          <w:tcPr>
            <w:tcW w:w="3233" w:type="dxa"/>
            <w:tcBorders>
              <w:left w:val="single" w:sz="8" w:space="0" w:color="000000"/>
              <w:bottom w:val="single" w:sz="8" w:space="0" w:color="000000"/>
            </w:tcBorders>
          </w:tcPr>
          <w:p>
            <w:pPr>
              <w:pStyle w:val="Style36"/>
              <w:widowControl w:val="false"/>
              <w:shd w:val="clear" w:fill="FFFFFF"/>
              <w:tabs>
                <w:tab w:val="clear" w:pos="720"/>
              </w:tabs>
              <w:snapToGrid w:val="false"/>
              <w:spacing w:lineRule="auto" w:line="240" w:before="0" w:after="0"/>
              <w:ind w:left="0" w:right="0" w:hanging="0"/>
              <w:jc w:val="left"/>
              <w:rPr>
                <w:rFonts w:ascii="Times New Roman" w:hAnsi="Times New Roman"/>
                <w:i w:val="false"/>
                <w:i w:val="false"/>
                <w:sz w:val="20"/>
                <w:szCs w:val="20"/>
                <w:lang w:val="uk-UA"/>
              </w:rPr>
            </w:pPr>
            <w:r>
              <w:rPr>
                <w:i w:val="false"/>
                <w:sz w:val="20"/>
                <w:szCs w:val="20"/>
                <w:lang w:val="uk-UA"/>
              </w:rPr>
              <w:t>Комплект еталонних радіонуклідних джерел спеціального призначення КСПАК</w:t>
            </w:r>
          </w:p>
        </w:tc>
        <w:tc>
          <w:tcPr>
            <w:tcW w:w="1822" w:type="dxa"/>
            <w:tcBorders>
              <w:left w:val="single" w:sz="8" w:space="0" w:color="000000"/>
              <w:bottom w:val="single" w:sz="8" w:space="0" w:color="000000"/>
            </w:tcBorders>
            <w:vAlign w:val="center"/>
          </w:tcPr>
          <w:p>
            <w:pPr>
              <w:pStyle w:val="Style36"/>
              <w:widowControl w:val="false"/>
              <w:shd w:val="clear" w:fill="FFFFFF"/>
              <w:tabs>
                <w:tab w:val="clear" w:pos="720"/>
              </w:tabs>
              <w:snapToGrid w:val="false"/>
              <w:spacing w:lineRule="auto" w:line="240" w:before="0" w:after="0"/>
              <w:ind w:left="0" w:right="0" w:hanging="0"/>
              <w:jc w:val="center"/>
              <w:rPr>
                <w:rFonts w:ascii="Times New Roman" w:hAnsi="Times New Roman"/>
                <w:i w:val="false"/>
                <w:i w:val="false"/>
                <w:sz w:val="20"/>
                <w:szCs w:val="20"/>
                <w:lang w:val="uk-UA"/>
              </w:rPr>
            </w:pPr>
            <w:r>
              <w:rPr>
                <w:i w:val="false"/>
                <w:sz w:val="20"/>
                <w:szCs w:val="20"/>
                <w:lang w:val="uk-UA"/>
              </w:rPr>
              <w:t>КСПАК</w:t>
            </w:r>
          </w:p>
        </w:tc>
        <w:tc>
          <w:tcPr>
            <w:tcW w:w="1442" w:type="dxa"/>
            <w:tcBorders>
              <w:left w:val="single" w:sz="8" w:space="0" w:color="000000"/>
              <w:bottom w:val="single" w:sz="8" w:space="0" w:color="000000"/>
            </w:tcBorders>
            <w:vAlign w:val="center"/>
          </w:tcPr>
          <w:p>
            <w:pPr>
              <w:pStyle w:val="Normal"/>
              <w:widowControl w:val="false"/>
              <w:shd w:val="clear" w:fill="FFFFFF"/>
              <w:snapToGrid w:val="false"/>
              <w:spacing w:lineRule="auto" w:line="240"/>
              <w:jc w:val="center"/>
              <w:rPr>
                <w:sz w:val="20"/>
                <w:szCs w:val="20"/>
                <w:lang w:val="uk-UA"/>
              </w:rPr>
            </w:pPr>
            <w:r>
              <w:rPr>
                <w:sz w:val="20"/>
                <w:szCs w:val="20"/>
                <w:lang w:val="uk-UA"/>
              </w:rPr>
              <w:t>ОАИ-5, № 1,</w:t>
            </w:r>
          </w:p>
          <w:p>
            <w:pPr>
              <w:pStyle w:val="Normal"/>
              <w:widowControl w:val="false"/>
              <w:shd w:val="clear" w:fill="FFFFFF"/>
              <w:snapToGrid w:val="false"/>
              <w:spacing w:lineRule="auto" w:line="240"/>
              <w:jc w:val="center"/>
              <w:rPr>
                <w:sz w:val="20"/>
                <w:szCs w:val="20"/>
                <w:lang w:val="uk-UA"/>
              </w:rPr>
            </w:pPr>
            <w:r>
              <w:rPr>
                <w:sz w:val="20"/>
                <w:szCs w:val="20"/>
                <w:lang w:val="uk-UA"/>
              </w:rPr>
              <w:t>ОАИ-6, № 1,</w:t>
            </w:r>
          </w:p>
          <w:p>
            <w:pPr>
              <w:pStyle w:val="Normal"/>
              <w:widowControl w:val="false"/>
              <w:shd w:val="clear" w:fill="FFFFFF"/>
              <w:snapToGrid w:val="false"/>
              <w:spacing w:lineRule="auto" w:line="240"/>
              <w:jc w:val="center"/>
              <w:rPr>
                <w:sz w:val="20"/>
                <w:szCs w:val="20"/>
                <w:lang w:val="uk-UA"/>
              </w:rPr>
            </w:pPr>
            <w:r>
              <w:rPr>
                <w:sz w:val="20"/>
                <w:szCs w:val="20"/>
                <w:lang w:val="uk-UA"/>
              </w:rPr>
              <w:t>ОАИ-6, № 2</w:t>
            </w:r>
          </w:p>
          <w:p>
            <w:pPr>
              <w:pStyle w:val="Style36"/>
              <w:widowControl w:val="false"/>
              <w:shd w:val="clear" w:fill="FFFFFF"/>
              <w:tabs>
                <w:tab w:val="clear" w:pos="720"/>
              </w:tabs>
              <w:snapToGrid w:val="false"/>
              <w:spacing w:lineRule="auto" w:line="240" w:before="0" w:after="0"/>
              <w:ind w:left="0" w:right="0" w:hanging="0"/>
              <w:jc w:val="center"/>
              <w:rPr>
                <w:rFonts w:ascii="Times New Roman" w:hAnsi="Times New Roman"/>
                <w:i w:val="false"/>
                <w:i w:val="false"/>
                <w:sz w:val="20"/>
                <w:szCs w:val="20"/>
                <w:lang w:val="uk-UA"/>
              </w:rPr>
            </w:pPr>
            <w:r>
              <w:rPr>
                <w:i w:val="false"/>
                <w:sz w:val="20"/>
                <w:szCs w:val="20"/>
                <w:lang w:val="uk-UA"/>
              </w:rPr>
              <w:t>(3 джерела)</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2"/>
                <w:sz w:val="22"/>
                <w:szCs w:val="22"/>
                <w:vertAlign w:val="baseline"/>
                <w:lang w:val="uk-UA"/>
              </w:rPr>
            </w:pPr>
            <w:r>
              <w:rPr>
                <w:i w:val="false"/>
                <w:color w:val="000000"/>
                <w:sz w:val="22"/>
                <w:szCs w:val="22"/>
                <w:vertAlign w:val="superscript"/>
                <w:lang w:val="uk-UA"/>
              </w:rPr>
              <w:t>90</w:t>
            </w:r>
            <w:r>
              <w:rPr>
                <w:i w:val="false"/>
                <w:color w:val="000000"/>
                <w:position w:val="0"/>
                <w:sz w:val="22"/>
                <w:sz w:val="22"/>
                <w:szCs w:val="22"/>
                <w:vertAlign w:val="baseline"/>
                <w:lang w:val="uk-UA"/>
              </w:rPr>
              <w:t>Sr+</w:t>
            </w:r>
            <w:r>
              <w:rPr>
                <w:i w:val="false"/>
                <w:color w:val="000000"/>
                <w:sz w:val="22"/>
                <w:szCs w:val="22"/>
                <w:vertAlign w:val="superscript"/>
                <w:lang w:val="uk-UA"/>
              </w:rPr>
              <w:t>90</w:t>
            </w:r>
            <w:r>
              <w:rPr>
                <w:i w:val="false"/>
                <w:color w:val="000000"/>
                <w:position w:val="0"/>
                <w:sz w:val="22"/>
                <w:sz w:val="22"/>
                <w:szCs w:val="22"/>
                <w:vertAlign w:val="baseline"/>
                <w:lang w:val="uk-UA"/>
              </w:rPr>
              <w:t>Y</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sz w:val="22"/>
                <w:szCs w:val="22"/>
                <w:lang w:val="uk-UA"/>
              </w:rPr>
            </w:pPr>
            <w:r>
              <w:rPr>
                <w:i w:val="false"/>
                <w:color w:val="auto"/>
                <w:sz w:val="22"/>
                <w:szCs w:val="22"/>
                <w:lang w:val="uk-UA"/>
              </w:rPr>
              <w:t>7,0</w:t>
            </w:r>
          </w:p>
        </w:tc>
      </w:tr>
      <w:tr>
        <w:trPr/>
        <w:tc>
          <w:tcPr>
            <w:tcW w:w="395" w:type="dxa"/>
            <w:vMerge w:val="restart"/>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position w:val="0"/>
                <w:sz w:val="22"/>
                <w:sz w:val="22"/>
                <w:szCs w:val="22"/>
                <w:vertAlign w:val="baseline"/>
                <w:lang w:val="uk-UA"/>
              </w:rPr>
            </w:pPr>
            <w:r>
              <w:rPr>
                <w:i w:val="false"/>
                <w:position w:val="0"/>
                <w:sz w:val="22"/>
                <w:sz w:val="22"/>
                <w:szCs w:val="22"/>
                <w:vertAlign w:val="baseline"/>
                <w:lang w:val="uk-UA"/>
              </w:rPr>
              <w:t>3</w:t>
            </w:r>
          </w:p>
        </w:tc>
        <w:tc>
          <w:tcPr>
            <w:tcW w:w="3233" w:type="dxa"/>
            <w:vMerge w:val="restart"/>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sz w:val="20"/>
                <w:szCs w:val="20"/>
                <w:lang w:val="uk-UA"/>
              </w:rPr>
            </w:pPr>
            <w:r>
              <w:rPr>
                <w:i w:val="false"/>
                <w:sz w:val="20"/>
                <w:szCs w:val="20"/>
                <w:lang w:val="uk-UA"/>
              </w:rPr>
              <w:t>Радіонуклідні джерела спеціального призначення РДСП (фантом людини і окремих органів)</w:t>
            </w:r>
          </w:p>
        </w:tc>
        <w:tc>
          <w:tcPr>
            <w:tcW w:w="182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ФЛ- 03Т</w:t>
            </w:r>
          </w:p>
        </w:tc>
        <w:tc>
          <w:tcPr>
            <w:tcW w:w="144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5</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60</w:t>
            </w:r>
            <w:r>
              <w:rPr>
                <w:i w:val="false"/>
                <w:color w:val="000000"/>
                <w:sz w:val="22"/>
                <w:szCs w:val="22"/>
                <w:lang w:val="uk-UA"/>
              </w:rPr>
              <w:t>Co</w:t>
            </w:r>
          </w:p>
        </w:tc>
        <w:tc>
          <w:tcPr>
            <w:tcW w:w="1664" w:type="dxa"/>
            <w:vMerge w:val="restart"/>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sz w:val="22"/>
                <w:szCs w:val="22"/>
                <w:lang w:val="uk-UA"/>
              </w:rPr>
            </w:pPr>
            <w:r>
              <w:rPr>
                <w:i w:val="false"/>
                <w:color w:val="auto"/>
                <w:sz w:val="22"/>
                <w:szCs w:val="22"/>
                <w:lang w:val="uk-UA"/>
              </w:rPr>
              <w:t>7,0</w:t>
            </w:r>
          </w:p>
        </w:tc>
      </w:tr>
      <w:tr>
        <w:trPr>
          <w:trHeight w:val="130" w:hRule="atLeast"/>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УФ-02Т</w:t>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18</w:t>
            </w:r>
          </w:p>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(161 джерело)</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УФ-02Т</w:t>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18</w:t>
            </w:r>
          </w:p>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(79 джерел)</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rHeight w:val="279" w:hRule="atLeast"/>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ФЦЖ-04Т</w:t>
            </w:r>
          </w:p>
        </w:tc>
        <w:tc>
          <w:tcPr>
            <w:tcW w:w="144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5</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133</w:t>
            </w:r>
            <w:r>
              <w:rPr>
                <w:i w:val="false"/>
                <w:color w:val="000000"/>
                <w:sz w:val="22"/>
                <w:szCs w:val="22"/>
                <w:lang w:val="uk-UA"/>
              </w:rPr>
              <w:t>Ba</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4</w:t>
            </w:r>
          </w:p>
        </w:tc>
        <w:tc>
          <w:tcPr>
            <w:tcW w:w="3233"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Радіонуклідне джерело спеціального призначення СОРП-Ц</w:t>
            </w:r>
          </w:p>
        </w:tc>
        <w:tc>
          <w:tcPr>
            <w:tcW w:w="1822" w:type="dxa"/>
            <w:tcBorders>
              <w:left w:val="single" w:sz="8" w:space="0" w:color="000000"/>
              <w:bottom w:val="single" w:sz="8" w:space="0" w:color="000000"/>
            </w:tcBorders>
            <w:vAlign w:val="center"/>
          </w:tcPr>
          <w:p>
            <w:pPr>
              <w:pStyle w:val="Normal"/>
              <w:widowControl w:val="false"/>
              <w:spacing w:before="0" w:after="0"/>
              <w:ind w:left="0" w:right="0" w:hanging="0"/>
              <w:jc w:val="center"/>
              <w:rPr>
                <w:position w:val="0"/>
                <w:sz w:val="22"/>
                <w:sz w:val="22"/>
                <w:szCs w:val="22"/>
                <w:vertAlign w:val="baseline"/>
                <w:lang w:val="uk-UA"/>
              </w:rPr>
            </w:pPr>
            <w:r>
              <w:rPr>
                <w:position w:val="0"/>
                <w:sz w:val="22"/>
                <w:sz w:val="22"/>
                <w:szCs w:val="22"/>
                <w:vertAlign w:val="baseline"/>
                <w:lang w:val="uk-UA"/>
              </w:rPr>
              <w:t>СОРП-Ц</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i w:val="false"/>
                <w:i w:val="false"/>
                <w:position w:val="0"/>
                <w:sz w:val="22"/>
                <w:sz w:val="22"/>
                <w:szCs w:val="22"/>
                <w:vertAlign w:val="baseline"/>
                <w:lang w:val="uk-UA"/>
              </w:rPr>
            </w:pPr>
            <w:r>
              <w:rPr>
                <w:i w:val="false"/>
                <w:position w:val="0"/>
                <w:sz w:val="22"/>
                <w:sz w:val="22"/>
                <w:szCs w:val="22"/>
                <w:vertAlign w:val="baseline"/>
                <w:lang w:val="uk-UA"/>
              </w:rPr>
              <w:t>1/97</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5</w:t>
            </w:r>
          </w:p>
        </w:tc>
        <w:tc>
          <w:tcPr>
            <w:tcW w:w="3233" w:type="dxa"/>
            <w:tcBorders>
              <w:left w:val="single" w:sz="8" w:space="0" w:color="000000"/>
              <w:bottom w:val="single" w:sz="8" w:space="0" w:color="000000"/>
            </w:tcBorders>
            <w:vAlign w:val="center"/>
          </w:tcPr>
          <w:p>
            <w:pPr>
              <w:pStyle w:val="Standard"/>
              <w:widowControl w:val="false"/>
              <w:tabs>
                <w:tab w:val="clear" w:pos="720"/>
              </w:tabs>
              <w:bidi w:val="0"/>
              <w:spacing w:lineRule="auto" w:line="240" w:before="0" w:after="0"/>
              <w:ind w:left="0" w:right="0" w:hanging="0"/>
              <w:jc w:val="left"/>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Комплект еталонних радіонуклідних джерел спеціального призначення ОИСН</w:t>
            </w:r>
          </w:p>
        </w:tc>
        <w:tc>
          <w:tcPr>
            <w:tcW w:w="1822" w:type="dxa"/>
            <w:tcBorders>
              <w:left w:val="single" w:sz="8" w:space="0" w:color="000000"/>
              <w:bottom w:val="single" w:sz="8" w:space="0" w:color="000000"/>
            </w:tcBorders>
            <w:vAlign w:val="center"/>
          </w:tcPr>
          <w:p>
            <w:pPr>
              <w:pStyle w:val="Normal"/>
              <w:widowControl w:val="false"/>
              <w:shd w:val="clear" w:fill="FFFFFF"/>
              <w:snapToGrid w:val="false"/>
              <w:jc w:val="center"/>
              <w:rPr>
                <w:sz w:val="20"/>
                <w:szCs w:val="20"/>
              </w:rPr>
            </w:pPr>
            <w:r>
              <w:rPr>
                <w:sz w:val="20"/>
                <w:szCs w:val="20"/>
              </w:rPr>
              <w:t>ОИСН-99,</w:t>
            </w:r>
          </w:p>
          <w:p>
            <w:pPr>
              <w:pStyle w:val="Normal"/>
              <w:widowControl w:val="false"/>
              <w:shd w:val="clear" w:fill="FFFFFF"/>
              <w:snapToGrid w:val="false"/>
              <w:jc w:val="center"/>
              <w:rPr>
                <w:sz w:val="20"/>
                <w:szCs w:val="20"/>
              </w:rPr>
            </w:pPr>
            <w:r>
              <w:rPr>
                <w:sz w:val="20"/>
                <w:szCs w:val="20"/>
              </w:rPr>
              <w:t>ОИСН-104,</w:t>
            </w:r>
          </w:p>
          <w:p>
            <w:pPr>
              <w:pStyle w:val="Normal"/>
              <w:widowControl w:val="false"/>
              <w:shd w:val="clear" w:fill="FFFFFF"/>
              <w:snapToGrid w:val="false"/>
              <w:spacing w:before="0" w:after="0"/>
              <w:ind w:left="0" w:right="0" w:hanging="0"/>
              <w:jc w:val="center"/>
              <w:rPr>
                <w:position w:val="0"/>
                <w:sz w:val="20"/>
                <w:sz w:val="20"/>
                <w:szCs w:val="20"/>
                <w:vertAlign w:val="baseline"/>
                <w:lang w:val="uk-UA"/>
              </w:rPr>
            </w:pPr>
            <w:r>
              <w:rPr>
                <w:position w:val="0"/>
                <w:sz w:val="20"/>
                <w:sz w:val="20"/>
                <w:szCs w:val="20"/>
                <w:vertAlign w:val="baseline"/>
                <w:lang w:val="uk-UA"/>
              </w:rPr>
              <w:t>ОИСН-106</w:t>
            </w:r>
          </w:p>
        </w:tc>
        <w:tc>
          <w:tcPr>
            <w:tcW w:w="144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2"/>
                <w:sz w:val="22"/>
                <w:szCs w:val="22"/>
                <w:vertAlign w:val="baseline"/>
                <w:lang w:val="uk-UA"/>
              </w:rPr>
            </w:pPr>
            <w:r>
              <w:rPr>
                <w:i w:val="false"/>
                <w:color w:val="000000"/>
                <w:position w:val="0"/>
                <w:sz w:val="22"/>
                <w:sz w:val="22"/>
                <w:szCs w:val="22"/>
                <w:vertAlign w:val="baseline"/>
                <w:lang w:val="uk-UA"/>
              </w:rPr>
              <w:t>99,</w:t>
            </w:r>
          </w:p>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2"/>
                <w:sz w:val="22"/>
                <w:szCs w:val="22"/>
                <w:vertAlign w:val="baseline"/>
                <w:lang w:val="uk-UA"/>
              </w:rPr>
            </w:pPr>
            <w:r>
              <w:rPr>
                <w:i w:val="false"/>
                <w:color w:val="000000"/>
                <w:position w:val="0"/>
                <w:sz w:val="22"/>
                <w:sz w:val="22"/>
                <w:szCs w:val="22"/>
                <w:vertAlign w:val="baseline"/>
                <w:lang w:val="uk-UA"/>
              </w:rPr>
              <w:t>104,</w:t>
            </w:r>
          </w:p>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2"/>
                <w:sz w:val="22"/>
                <w:szCs w:val="22"/>
                <w:vertAlign w:val="baseline"/>
                <w:lang w:val="uk-UA"/>
              </w:rPr>
            </w:pPr>
            <w:r>
              <w:rPr>
                <w:i w:val="false"/>
                <w:color w:val="000000"/>
                <w:position w:val="0"/>
                <w:sz w:val="22"/>
                <w:sz w:val="22"/>
                <w:szCs w:val="22"/>
                <w:vertAlign w:val="baseline"/>
                <w:lang w:val="uk-UA"/>
              </w:rPr>
              <w:t>106</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2"/>
                <w:sz w:val="22"/>
                <w:szCs w:val="22"/>
                <w:vertAlign w:val="baseline"/>
                <w:lang w:val="uk-UA"/>
              </w:rPr>
            </w:pPr>
            <w:r>
              <w:rPr>
                <w:i w:val="false"/>
                <w:color w:val="000000"/>
                <w:sz w:val="22"/>
                <w:szCs w:val="22"/>
                <w:vertAlign w:val="superscript"/>
                <w:lang w:val="uk-UA"/>
              </w:rPr>
              <w:t>90</w:t>
            </w:r>
            <w:r>
              <w:rPr>
                <w:i w:val="false"/>
                <w:color w:val="000000"/>
                <w:position w:val="0"/>
                <w:sz w:val="22"/>
                <w:sz w:val="22"/>
                <w:szCs w:val="22"/>
                <w:vertAlign w:val="baseline"/>
                <w:lang w:val="uk-UA"/>
              </w:rPr>
              <w:t>Sr+</w:t>
            </w:r>
            <w:r>
              <w:rPr>
                <w:i w:val="false"/>
                <w:color w:val="000000"/>
                <w:sz w:val="22"/>
                <w:szCs w:val="22"/>
                <w:vertAlign w:val="superscript"/>
                <w:lang w:val="uk-UA"/>
              </w:rPr>
              <w:t>90</w:t>
            </w:r>
            <w:r>
              <w:rPr>
                <w:i w:val="false"/>
                <w:color w:val="000000"/>
                <w:position w:val="0"/>
                <w:sz w:val="22"/>
                <w:sz w:val="22"/>
                <w:szCs w:val="22"/>
                <w:vertAlign w:val="baseline"/>
                <w:lang w:val="uk-UA"/>
              </w:rPr>
              <w:t>Y</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40</w:t>
            </w:r>
            <w:r>
              <w:rPr>
                <w:i w:val="false"/>
                <w:color w:val="000000"/>
                <w:sz w:val="22"/>
                <w:szCs w:val="22"/>
                <w:lang w:val="uk-UA"/>
              </w:rPr>
              <w:t>K</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pPr>
            <w:r>
              <w:rPr>
                <w:rFonts w:eastAsia="Times New Roman"/>
                <w:i w:val="false"/>
                <w:color w:val="000000"/>
                <w:sz w:val="22"/>
                <w:szCs w:val="22"/>
                <w:lang w:val="uk-UA"/>
              </w:rPr>
              <w:t>7</w:t>
            </w:r>
            <w:r>
              <w:rPr>
                <w:i w:val="false"/>
                <w:color w:val="000000"/>
                <w:sz w:val="22"/>
                <w:szCs w:val="22"/>
                <w:lang w:val="uk-UA"/>
              </w:rPr>
              <w:t>,0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6</w:t>
            </w:r>
          </w:p>
        </w:tc>
        <w:tc>
          <w:tcPr>
            <w:tcW w:w="3233" w:type="dxa"/>
            <w:tcBorders>
              <w:left w:val="single" w:sz="8" w:space="0" w:color="000000"/>
              <w:bottom w:val="single" w:sz="8" w:space="0" w:color="000000"/>
            </w:tcBorders>
            <w:vAlign w:val="center"/>
          </w:tcPr>
          <w:p>
            <w:pPr>
              <w:pStyle w:val="Normal"/>
              <w:widowControl w:val="false"/>
              <w:spacing w:before="0" w:after="0"/>
              <w:ind w:left="0" w:right="0" w:hanging="0"/>
              <w:jc w:val="left"/>
              <w:rPr>
                <w:position w:val="0"/>
                <w:sz w:val="20"/>
                <w:sz w:val="20"/>
                <w:szCs w:val="20"/>
                <w:vertAlign w:val="baseline"/>
                <w:lang w:val="uk-UA"/>
              </w:rPr>
            </w:pPr>
            <w:r>
              <w:rPr>
                <w:position w:val="0"/>
                <w:sz w:val="20"/>
                <w:sz w:val="20"/>
                <w:szCs w:val="20"/>
                <w:vertAlign w:val="baseline"/>
                <w:lang w:val="uk-UA"/>
              </w:rPr>
              <w:t>Радіонуклідне джерело спеціального призначення ОИСН-1</w:t>
            </w:r>
          </w:p>
        </w:tc>
        <w:tc>
          <w:tcPr>
            <w:tcW w:w="1822" w:type="dxa"/>
            <w:tcBorders>
              <w:left w:val="single" w:sz="8" w:space="0" w:color="000000"/>
              <w:bottom w:val="single" w:sz="8" w:space="0" w:color="000000"/>
            </w:tcBorders>
            <w:vAlign w:val="center"/>
          </w:tcPr>
          <w:p>
            <w:pPr>
              <w:pStyle w:val="Normal"/>
              <w:widowControl w:val="false"/>
              <w:spacing w:before="0" w:after="0"/>
              <w:ind w:left="0" w:right="0" w:hanging="0"/>
              <w:jc w:val="center"/>
              <w:rPr>
                <w:position w:val="0"/>
                <w:sz w:val="22"/>
                <w:sz w:val="22"/>
                <w:szCs w:val="22"/>
                <w:vertAlign w:val="baseline"/>
                <w:lang w:val="uk-UA"/>
              </w:rPr>
            </w:pPr>
            <w:r>
              <w:rPr>
                <w:position w:val="0"/>
                <w:sz w:val="22"/>
                <w:sz w:val="22"/>
                <w:szCs w:val="22"/>
                <w:vertAlign w:val="baseline"/>
                <w:lang w:val="uk-UA"/>
              </w:rPr>
              <w:t>ОИСН-1</w:t>
            </w:r>
          </w:p>
        </w:tc>
        <w:tc>
          <w:tcPr>
            <w:tcW w:w="144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340</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w:t>
            </w:r>
          </w:p>
        </w:tc>
        <w:tc>
          <w:tcPr>
            <w:tcW w:w="3233"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left"/>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Еталонне радіонуклідне джерело спеціального призначення ОИСН-1</w:t>
            </w:r>
          </w:p>
        </w:tc>
        <w:tc>
          <w:tcPr>
            <w:tcW w:w="182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ОИСН-1</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i w:val="false"/>
                <w:i w:val="false"/>
                <w:position w:val="0"/>
                <w:sz w:val="22"/>
                <w:sz w:val="22"/>
                <w:szCs w:val="22"/>
                <w:vertAlign w:val="baseline"/>
                <w:lang w:val="uk-UA"/>
              </w:rPr>
            </w:pPr>
            <w:r>
              <w:rPr>
                <w:i w:val="false"/>
                <w:position w:val="0"/>
                <w:sz w:val="22"/>
                <w:sz w:val="22"/>
                <w:szCs w:val="22"/>
                <w:vertAlign w:val="baseline"/>
                <w:lang w:val="uk-UA"/>
              </w:rPr>
              <w:t>341</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8</w:t>
            </w:r>
          </w:p>
        </w:tc>
        <w:tc>
          <w:tcPr>
            <w:tcW w:w="3233"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left"/>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Еталонне радіонуклідне джерело спеціального призначення ОИСН-1</w:t>
            </w:r>
          </w:p>
        </w:tc>
        <w:tc>
          <w:tcPr>
            <w:tcW w:w="182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ОИСН-1</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i w:val="false"/>
                <w:i w:val="false"/>
                <w:position w:val="0"/>
                <w:sz w:val="22"/>
                <w:sz w:val="22"/>
                <w:szCs w:val="22"/>
                <w:vertAlign w:val="baseline"/>
                <w:lang w:val="uk-UA"/>
              </w:rPr>
            </w:pPr>
            <w:r>
              <w:rPr>
                <w:i w:val="false"/>
                <w:position w:val="0"/>
                <w:sz w:val="22"/>
                <w:sz w:val="22"/>
                <w:szCs w:val="22"/>
                <w:vertAlign w:val="baseline"/>
                <w:lang w:val="uk-UA"/>
              </w:rPr>
              <w:t>342</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40</w:t>
            </w:r>
            <w:r>
              <w:rPr>
                <w:i w:val="false"/>
                <w:color w:val="000000"/>
                <w:sz w:val="22"/>
                <w:szCs w:val="22"/>
                <w:lang w:val="uk-UA"/>
              </w:rPr>
              <w:t>K</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9</w:t>
            </w:r>
          </w:p>
        </w:tc>
        <w:tc>
          <w:tcPr>
            <w:tcW w:w="3233"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left"/>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Еталонне радіонуклідне джерело спеціального призначення ОИСН-1</w:t>
            </w:r>
          </w:p>
        </w:tc>
        <w:tc>
          <w:tcPr>
            <w:tcW w:w="182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ОИСН-1</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i w:val="false"/>
                <w:i w:val="false"/>
                <w:position w:val="0"/>
                <w:sz w:val="22"/>
                <w:sz w:val="22"/>
                <w:szCs w:val="22"/>
                <w:vertAlign w:val="baseline"/>
                <w:lang w:val="uk-UA"/>
              </w:rPr>
            </w:pPr>
            <w:r>
              <w:rPr>
                <w:i w:val="false"/>
                <w:position w:val="0"/>
                <w:sz w:val="22"/>
                <w:sz w:val="22"/>
                <w:szCs w:val="22"/>
                <w:vertAlign w:val="baseline"/>
                <w:lang w:val="uk-UA"/>
              </w:rPr>
              <w:t>343</w:t>
            </w:r>
          </w:p>
        </w:tc>
        <w:tc>
          <w:tcPr>
            <w:tcW w:w="1828" w:type="dxa"/>
            <w:tcBorders>
              <w:left w:val="single" w:sz="8" w:space="0" w:color="000000"/>
              <w:bottom w:val="single" w:sz="8" w:space="0" w:color="000000"/>
            </w:tcBorders>
            <w:vAlign w:val="center"/>
          </w:tcPr>
          <w:p>
            <w:pPr>
              <w:pStyle w:val="Standard"/>
              <w:widowControl w:val="false"/>
              <w:bidi w:val="0"/>
              <w:jc w:val="center"/>
              <w:rPr/>
            </w:pPr>
            <w:r>
              <w:rPr>
                <w:rFonts w:eastAsia="Times New Roman"/>
                <w:sz w:val="20"/>
                <w:vertAlign w:val="superscript"/>
                <w:lang w:val="uk-UA"/>
              </w:rPr>
              <w:t>241</w:t>
            </w:r>
            <w:r>
              <w:rPr>
                <w:rFonts w:eastAsia="Times New Roman"/>
                <w:sz w:val="20"/>
                <w:lang w:val="en-US"/>
              </w:rPr>
              <w:t>Am</w:t>
            </w:r>
          </w:p>
          <w:p>
            <w:pPr>
              <w:pStyle w:val="Standard"/>
              <w:widowControl w:val="false"/>
              <w:bidi w:val="0"/>
              <w:jc w:val="center"/>
              <w:rPr/>
            </w:pPr>
            <w:r>
              <w:rPr>
                <w:rFonts w:eastAsia="Times New Roman"/>
                <w:sz w:val="20"/>
                <w:vertAlign w:val="superscript"/>
                <w:lang w:val="uk-UA"/>
              </w:rPr>
              <w:t>152</w:t>
            </w:r>
            <w:r>
              <w:rPr>
                <w:rFonts w:eastAsia="Times New Roman"/>
                <w:sz w:val="20"/>
                <w:lang w:val="en-US"/>
              </w:rPr>
              <w:t>Eu</w:t>
            </w:r>
          </w:p>
          <w:p>
            <w:pPr>
              <w:pStyle w:val="Standard"/>
              <w:widowControl w:val="false"/>
              <w:bidi w:val="0"/>
              <w:jc w:val="center"/>
              <w:rPr/>
            </w:pPr>
            <w:r>
              <w:rPr>
                <w:rFonts w:eastAsia="Times New Roman"/>
                <w:i w:val="false"/>
                <w:color w:val="000000"/>
                <w:sz w:val="20"/>
                <w:szCs w:val="22"/>
                <w:vertAlign w:val="superscript"/>
                <w:lang w:val="uk-UA"/>
              </w:rPr>
              <w:t>137</w:t>
            </w:r>
            <w:r>
              <w:rPr>
                <w:rFonts w:eastAsia="Times New Roman"/>
                <w:i w:val="false"/>
                <w:color w:val="000000"/>
                <w:sz w:val="20"/>
                <w:szCs w:val="22"/>
                <w:lang w:val="uk-UA"/>
              </w:rPr>
              <w:t>Cs</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10</w:t>
            </w:r>
          </w:p>
        </w:tc>
        <w:tc>
          <w:tcPr>
            <w:tcW w:w="3233"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left"/>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Еталонне радіонуклідне джерело спеціального призначення ОИСН-1</w:t>
            </w:r>
          </w:p>
        </w:tc>
        <w:tc>
          <w:tcPr>
            <w:tcW w:w="182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ОИСН-1</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i w:val="false"/>
                <w:i w:val="false"/>
                <w:position w:val="0"/>
                <w:sz w:val="22"/>
                <w:sz w:val="22"/>
                <w:szCs w:val="22"/>
                <w:vertAlign w:val="baseline"/>
                <w:lang w:val="uk-UA"/>
              </w:rPr>
            </w:pPr>
            <w:r>
              <w:rPr>
                <w:i w:val="false"/>
                <w:position w:val="0"/>
                <w:sz w:val="22"/>
                <w:sz w:val="22"/>
                <w:szCs w:val="22"/>
                <w:vertAlign w:val="baseline"/>
                <w:lang w:val="uk-UA"/>
              </w:rPr>
              <w:t>344</w:t>
            </w:r>
          </w:p>
        </w:tc>
        <w:tc>
          <w:tcPr>
            <w:tcW w:w="1828" w:type="dxa"/>
            <w:tcBorders>
              <w:left w:val="single" w:sz="8" w:space="0" w:color="000000"/>
              <w:bottom w:val="single" w:sz="8" w:space="0" w:color="000000"/>
            </w:tcBorders>
            <w:vAlign w:val="center"/>
          </w:tcPr>
          <w:p>
            <w:pPr>
              <w:pStyle w:val="Style36"/>
              <w:widowControl w:val="false"/>
              <w:tabs>
                <w:tab w:val="clear" w:pos="720"/>
              </w:tabs>
              <w:bidi w:val="0"/>
              <w:spacing w:lineRule="auto" w:line="240" w:before="0" w:after="0"/>
              <w:ind w:left="0" w:right="0" w:hanging="0"/>
              <w:jc w:val="center"/>
              <w:rPr>
                <w:rFonts w:ascii="Times New Roman" w:hAnsi="Times New Roman"/>
                <w:i w:val="false"/>
                <w:i w:val="false"/>
                <w:color w:val="000000"/>
                <w:position w:val="0"/>
                <w:sz w:val="28"/>
                <w:sz w:val="22"/>
                <w:szCs w:val="22"/>
                <w:vertAlign w:val="baseline"/>
                <w:lang w:val="uk-UA"/>
              </w:rPr>
            </w:pPr>
            <w:r>
              <w:rPr>
                <w:rFonts w:eastAsia="Times New Roman"/>
                <w:i w:val="false"/>
                <w:color w:val="000000"/>
                <w:sz w:val="20"/>
                <w:szCs w:val="22"/>
                <w:vertAlign w:val="superscript"/>
                <w:lang w:val="uk-UA"/>
              </w:rPr>
              <w:t>90</w:t>
            </w:r>
            <w:r>
              <w:rPr>
                <w:rFonts w:eastAsia="Times New Roman"/>
                <w:i w:val="false"/>
                <w:color w:val="000000"/>
                <w:position w:val="0"/>
                <w:sz w:val="20"/>
                <w:sz w:val="20"/>
                <w:szCs w:val="22"/>
                <w:vertAlign w:val="baseline"/>
                <w:lang w:val="uk-UA"/>
              </w:rPr>
              <w:t>Sr+</w:t>
            </w:r>
            <w:r>
              <w:rPr>
                <w:rFonts w:eastAsia="Times New Roman"/>
                <w:i w:val="false"/>
                <w:color w:val="000000"/>
                <w:sz w:val="20"/>
                <w:szCs w:val="22"/>
                <w:vertAlign w:val="superscript"/>
                <w:lang w:val="uk-UA"/>
              </w:rPr>
              <w:t>90</w:t>
            </w:r>
            <w:r>
              <w:rPr>
                <w:rFonts w:eastAsia="Times New Roman"/>
                <w:i w:val="false"/>
                <w:color w:val="000000"/>
                <w:position w:val="0"/>
                <w:sz w:val="20"/>
                <w:sz w:val="20"/>
                <w:szCs w:val="22"/>
                <w:vertAlign w:val="baseline"/>
                <w:lang w:val="uk-UA"/>
              </w:rPr>
              <w:t>Y</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11</w:t>
            </w:r>
          </w:p>
        </w:tc>
        <w:tc>
          <w:tcPr>
            <w:tcW w:w="3233"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left"/>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Еталонне радіонуклідне джерело спеціального призначення ОИСН</w:t>
            </w:r>
          </w:p>
        </w:tc>
        <w:tc>
          <w:tcPr>
            <w:tcW w:w="182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ОИСН</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eastAsia="Times New Roman"/>
                <w:i w:val="false"/>
                <w:i w:val="false"/>
                <w:color w:val="auto"/>
                <w:position w:val="0"/>
                <w:sz w:val="22"/>
                <w:sz w:val="22"/>
                <w:szCs w:val="22"/>
                <w:vertAlign w:val="baseline"/>
                <w:lang w:val="uk-UA"/>
              </w:rPr>
            </w:pPr>
            <w:r>
              <w:rPr>
                <w:rFonts w:eastAsia="Times New Roman"/>
                <w:i w:val="false"/>
                <w:color w:val="auto"/>
                <w:position w:val="0"/>
                <w:sz w:val="22"/>
                <w:sz w:val="22"/>
                <w:szCs w:val="22"/>
                <w:vertAlign w:val="baseline"/>
                <w:lang w:val="uk-UA"/>
              </w:rPr>
              <w:t>16</w:t>
            </w:r>
          </w:p>
        </w:tc>
        <w:tc>
          <w:tcPr>
            <w:tcW w:w="1828" w:type="dxa"/>
            <w:tcBorders>
              <w:left w:val="single" w:sz="8" w:space="0" w:color="000000"/>
              <w:bottom w:val="single" w:sz="8" w:space="0" w:color="000000"/>
            </w:tcBorders>
            <w:vAlign w:val="center"/>
          </w:tcPr>
          <w:p>
            <w:pPr>
              <w:pStyle w:val="Standard"/>
              <w:widowControl w:val="false"/>
              <w:tabs>
                <w:tab w:val="clear" w:pos="720"/>
              </w:tabs>
              <w:bidi w:val="0"/>
              <w:spacing w:lineRule="auto" w:line="240" w:before="0" w:after="0"/>
              <w:ind w:left="0" w:right="0" w:hanging="0"/>
              <w:jc w:val="center"/>
              <w:rPr>
                <w:rFonts w:ascii="Times New Roman" w:hAnsi="Times New Roman"/>
                <w:i w:val="false"/>
                <w:i w:val="false"/>
                <w:color w:val="000000"/>
                <w:position w:val="0"/>
                <w:sz w:val="24"/>
                <w:sz w:val="22"/>
                <w:szCs w:val="22"/>
                <w:vertAlign w:val="baseline"/>
                <w:lang w:val="uk-UA"/>
              </w:rPr>
            </w:pPr>
            <w:r>
              <w:rPr>
                <w:rFonts w:eastAsia="Times New Roman"/>
                <w:i w:val="false"/>
                <w:color w:val="000000"/>
                <w:sz w:val="20"/>
                <w:szCs w:val="22"/>
                <w:vertAlign w:val="superscript"/>
                <w:lang w:val="uk-UA"/>
              </w:rPr>
              <w:t>152</w:t>
            </w:r>
            <w:r>
              <w:rPr>
                <w:rFonts w:eastAsia="Times New Roman"/>
                <w:i w:val="false"/>
                <w:color w:val="000000"/>
                <w:position w:val="0"/>
                <w:sz w:val="20"/>
                <w:sz w:val="20"/>
                <w:szCs w:val="22"/>
                <w:vertAlign w:val="baseline"/>
                <w:lang w:val="en-US"/>
              </w:rPr>
              <w:t>Eu</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12</w:t>
            </w:r>
          </w:p>
        </w:tc>
        <w:tc>
          <w:tcPr>
            <w:tcW w:w="3233"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left"/>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Еталонне радіонуклідне джерело спеціального призначення ОИСН</w:t>
            </w:r>
          </w:p>
        </w:tc>
        <w:tc>
          <w:tcPr>
            <w:tcW w:w="182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ОИСН</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eastAsia="Times New Roman"/>
                <w:i w:val="false"/>
                <w:i w:val="false"/>
                <w:color w:val="auto"/>
                <w:position w:val="0"/>
                <w:sz w:val="22"/>
                <w:sz w:val="22"/>
                <w:szCs w:val="22"/>
                <w:vertAlign w:val="baseline"/>
                <w:lang w:val="uk-UA"/>
              </w:rPr>
            </w:pPr>
            <w:r>
              <w:rPr>
                <w:rFonts w:eastAsia="Times New Roman"/>
                <w:i w:val="false"/>
                <w:color w:val="auto"/>
                <w:position w:val="0"/>
                <w:sz w:val="22"/>
                <w:sz w:val="22"/>
                <w:szCs w:val="22"/>
                <w:vertAlign w:val="baseline"/>
                <w:lang w:val="uk-UA"/>
              </w:rPr>
              <w:t>ОІ426</w:t>
            </w:r>
          </w:p>
        </w:tc>
        <w:tc>
          <w:tcPr>
            <w:tcW w:w="1828" w:type="dxa"/>
            <w:tcBorders>
              <w:left w:val="single" w:sz="8" w:space="0" w:color="000000"/>
              <w:bottom w:val="single" w:sz="8" w:space="0" w:color="000000"/>
            </w:tcBorders>
            <w:vAlign w:val="center"/>
          </w:tcPr>
          <w:p>
            <w:pPr>
              <w:pStyle w:val="Style36"/>
              <w:widowControl w:val="false"/>
              <w:tabs>
                <w:tab w:val="clear" w:pos="720"/>
              </w:tabs>
              <w:bidi w:val="0"/>
              <w:spacing w:lineRule="auto" w:line="240" w:before="0" w:after="0"/>
              <w:ind w:left="0" w:right="0" w:hanging="0"/>
              <w:jc w:val="center"/>
              <w:rPr>
                <w:rFonts w:ascii="Times New Roman" w:hAnsi="Times New Roman"/>
                <w:i w:val="false"/>
                <w:i w:val="false"/>
                <w:color w:val="000000"/>
                <w:position w:val="0"/>
                <w:sz w:val="28"/>
                <w:sz w:val="22"/>
                <w:szCs w:val="22"/>
                <w:vertAlign w:val="baseline"/>
                <w:lang w:val="uk-UA"/>
              </w:rPr>
            </w:pPr>
            <w:r>
              <w:rPr>
                <w:rFonts w:eastAsia="Times New Roman"/>
                <w:i w:val="false"/>
                <w:color w:val="000000"/>
                <w:sz w:val="20"/>
                <w:szCs w:val="22"/>
                <w:vertAlign w:val="superscript"/>
                <w:lang w:val="en-US"/>
              </w:rPr>
              <w:t>137</w:t>
            </w:r>
            <w:r>
              <w:rPr>
                <w:rFonts w:eastAsia="Times New Roman"/>
                <w:i w:val="false"/>
                <w:color w:val="000000"/>
                <w:position w:val="0"/>
                <w:sz w:val="20"/>
                <w:sz w:val="20"/>
                <w:szCs w:val="22"/>
                <w:vertAlign w:val="baseline"/>
                <w:lang w:val="en-US"/>
              </w:rPr>
              <w:t>Cs</w:t>
            </w:r>
          </w:p>
          <w:p>
            <w:pPr>
              <w:pStyle w:val="Style36"/>
              <w:widowControl w:val="false"/>
              <w:tabs>
                <w:tab w:val="clear" w:pos="720"/>
              </w:tabs>
              <w:bidi w:val="0"/>
              <w:spacing w:lineRule="auto" w:line="240" w:before="0" w:after="0"/>
              <w:ind w:left="0" w:right="0" w:hanging="0"/>
              <w:jc w:val="center"/>
              <w:rPr>
                <w:rFonts w:ascii="Times New Roman" w:hAnsi="Times New Roman"/>
                <w:i w:val="false"/>
                <w:i w:val="false"/>
                <w:color w:val="000000"/>
                <w:position w:val="0"/>
                <w:sz w:val="28"/>
                <w:sz w:val="22"/>
                <w:szCs w:val="22"/>
                <w:vertAlign w:val="baseline"/>
                <w:lang w:val="uk-UA"/>
              </w:rPr>
            </w:pPr>
            <w:r>
              <w:rPr>
                <w:rFonts w:eastAsia="Times New Roman"/>
                <w:i w:val="false"/>
                <w:color w:val="000000"/>
                <w:sz w:val="20"/>
                <w:szCs w:val="22"/>
                <w:vertAlign w:val="superscript"/>
                <w:lang w:val="en-US"/>
              </w:rPr>
              <w:t>40</w:t>
            </w:r>
            <w:r>
              <w:rPr>
                <w:rFonts w:eastAsia="Times New Roman"/>
                <w:i w:val="false"/>
                <w:color w:val="000000"/>
                <w:position w:val="0"/>
                <w:sz w:val="20"/>
                <w:sz w:val="20"/>
                <w:szCs w:val="22"/>
                <w:vertAlign w:val="baseline"/>
                <w:lang w:val="en-US"/>
              </w:rPr>
              <w:t>K</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13</w:t>
            </w:r>
          </w:p>
        </w:tc>
        <w:tc>
          <w:tcPr>
            <w:tcW w:w="3233" w:type="dxa"/>
            <w:tcBorders>
              <w:left w:val="single" w:sz="8" w:space="0" w:color="000000"/>
              <w:bottom w:val="single" w:sz="8" w:space="0" w:color="000000"/>
            </w:tcBorders>
            <w:vAlign w:val="center"/>
          </w:tcPr>
          <w:p>
            <w:pPr>
              <w:pStyle w:val="Normal"/>
              <w:widowControl w:val="false"/>
              <w:spacing w:before="0" w:after="0"/>
              <w:ind w:left="0" w:right="0" w:hanging="0"/>
              <w:jc w:val="left"/>
              <w:rPr>
                <w:position w:val="0"/>
                <w:sz w:val="20"/>
                <w:sz w:val="20"/>
                <w:szCs w:val="20"/>
                <w:vertAlign w:val="baseline"/>
                <w:lang w:val="uk-UA"/>
              </w:rPr>
            </w:pPr>
            <w:r>
              <w:rPr>
                <w:position w:val="0"/>
                <w:sz w:val="20"/>
                <w:sz w:val="20"/>
                <w:szCs w:val="20"/>
                <w:vertAlign w:val="baseline"/>
                <w:lang w:val="uk-UA"/>
              </w:rPr>
              <w:t>Радіонуклідне джерело спеціального призначення типу 1Т4</w:t>
            </w:r>
          </w:p>
        </w:tc>
        <w:tc>
          <w:tcPr>
            <w:tcW w:w="1822" w:type="dxa"/>
            <w:tcBorders>
              <w:left w:val="single" w:sz="8" w:space="0" w:color="000000"/>
              <w:bottom w:val="single" w:sz="8" w:space="0" w:color="000000"/>
            </w:tcBorders>
            <w:vAlign w:val="center"/>
          </w:tcPr>
          <w:p>
            <w:pPr>
              <w:pStyle w:val="Normal"/>
              <w:widowControl w:val="false"/>
              <w:spacing w:before="0" w:after="0"/>
              <w:ind w:left="0" w:right="0" w:hanging="0"/>
              <w:jc w:val="center"/>
              <w:rPr>
                <w:position w:val="0"/>
                <w:sz w:val="22"/>
                <w:sz w:val="22"/>
                <w:szCs w:val="22"/>
                <w:vertAlign w:val="baseline"/>
                <w:lang w:val="uk-UA"/>
              </w:rPr>
            </w:pPr>
            <w:r>
              <w:rPr>
                <w:position w:val="0"/>
                <w:sz w:val="22"/>
                <w:sz w:val="22"/>
                <w:szCs w:val="22"/>
                <w:vertAlign w:val="baseline"/>
                <w:lang w:val="uk-UA"/>
              </w:rPr>
              <w:t>1Т4</w:t>
            </w:r>
          </w:p>
        </w:tc>
        <w:tc>
          <w:tcPr>
            <w:tcW w:w="144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426</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204</w:t>
            </w:r>
            <w:r>
              <w:rPr>
                <w:i w:val="false"/>
                <w:color w:val="000000"/>
                <w:sz w:val="22"/>
                <w:szCs w:val="22"/>
                <w:lang w:val="uk-UA"/>
              </w:rPr>
              <w:t>Tl</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14</w:t>
            </w:r>
          </w:p>
        </w:tc>
        <w:tc>
          <w:tcPr>
            <w:tcW w:w="3233" w:type="dxa"/>
            <w:tcBorders>
              <w:left w:val="single" w:sz="8" w:space="0" w:color="000000"/>
              <w:bottom w:val="single" w:sz="8" w:space="0" w:color="000000"/>
            </w:tcBorders>
            <w:vAlign w:val="center"/>
          </w:tcPr>
          <w:p>
            <w:pPr>
              <w:pStyle w:val="Normal"/>
              <w:widowControl w:val="false"/>
              <w:spacing w:before="0" w:after="0"/>
              <w:ind w:left="0" w:right="0" w:hanging="0"/>
              <w:jc w:val="left"/>
              <w:rPr>
                <w:position w:val="0"/>
                <w:sz w:val="20"/>
                <w:sz w:val="20"/>
                <w:szCs w:val="20"/>
                <w:vertAlign w:val="baseline"/>
                <w:lang w:val="uk-UA"/>
              </w:rPr>
            </w:pPr>
            <w:r>
              <w:rPr>
                <w:position w:val="0"/>
                <w:sz w:val="20"/>
                <w:sz w:val="20"/>
                <w:szCs w:val="20"/>
                <w:vertAlign w:val="baseline"/>
                <w:lang w:val="uk-UA"/>
              </w:rPr>
              <w:t>Радіонуклідне джерело спеціального призначення типу 1КО</w:t>
            </w:r>
          </w:p>
        </w:tc>
        <w:tc>
          <w:tcPr>
            <w:tcW w:w="1822" w:type="dxa"/>
            <w:tcBorders>
              <w:left w:val="single" w:sz="8" w:space="0" w:color="000000"/>
              <w:bottom w:val="single" w:sz="8" w:space="0" w:color="000000"/>
            </w:tcBorders>
            <w:vAlign w:val="center"/>
          </w:tcPr>
          <w:p>
            <w:pPr>
              <w:pStyle w:val="Normal"/>
              <w:widowControl w:val="false"/>
              <w:spacing w:before="0" w:after="0"/>
              <w:ind w:left="0" w:right="0" w:hanging="0"/>
              <w:jc w:val="center"/>
              <w:rPr>
                <w:position w:val="0"/>
                <w:sz w:val="22"/>
                <w:sz w:val="22"/>
                <w:szCs w:val="22"/>
                <w:vertAlign w:val="baseline"/>
                <w:lang w:val="uk-UA"/>
              </w:rPr>
            </w:pPr>
            <w:r>
              <w:rPr>
                <w:position w:val="0"/>
                <w:sz w:val="22"/>
                <w:sz w:val="22"/>
                <w:szCs w:val="22"/>
                <w:vertAlign w:val="baseline"/>
                <w:lang w:val="uk-UA"/>
              </w:rPr>
              <w:t>1КО</w:t>
            </w:r>
          </w:p>
        </w:tc>
        <w:tc>
          <w:tcPr>
            <w:tcW w:w="144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427</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60</w:t>
            </w:r>
            <w:r>
              <w:rPr>
                <w:i w:val="false"/>
                <w:color w:val="000000"/>
                <w:sz w:val="22"/>
                <w:szCs w:val="22"/>
                <w:lang w:val="uk-UA"/>
              </w:rPr>
              <w:t>Co</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Normal"/>
              <w:widowControl w:val="false"/>
              <w:rPr>
                <w:lang w:val="uk-UA"/>
              </w:rPr>
            </w:pPr>
            <w:r>
              <w:rPr>
                <w:lang w:val="uk-UA"/>
              </w:rPr>
              <w:t>15</w:t>
            </w:r>
          </w:p>
        </w:tc>
        <w:tc>
          <w:tcPr>
            <w:tcW w:w="3233"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Радіонуклідне джерело спеціального призначення ОИСН</w:t>
            </w:r>
          </w:p>
        </w:tc>
        <w:tc>
          <w:tcPr>
            <w:tcW w:w="1822" w:type="dxa"/>
            <w:tcBorders>
              <w:left w:val="single" w:sz="8" w:space="0" w:color="000000"/>
              <w:bottom w:val="single" w:sz="8" w:space="0" w:color="000000"/>
            </w:tcBorders>
            <w:vAlign w:val="center"/>
          </w:tcPr>
          <w:p>
            <w:pPr>
              <w:pStyle w:val="Normal"/>
              <w:widowControl w:val="false"/>
              <w:spacing w:before="0" w:after="0"/>
              <w:ind w:left="0" w:right="0" w:hanging="0"/>
              <w:jc w:val="center"/>
              <w:rPr>
                <w:color w:val="auto"/>
                <w:position w:val="0"/>
                <w:sz w:val="22"/>
                <w:sz w:val="22"/>
                <w:szCs w:val="22"/>
                <w:vertAlign w:val="baseline"/>
                <w:lang w:val="uk-UA"/>
              </w:rPr>
            </w:pPr>
            <w:r>
              <w:rPr>
                <w:color w:val="auto"/>
                <w:position w:val="0"/>
                <w:sz w:val="22"/>
                <w:sz w:val="22"/>
                <w:szCs w:val="22"/>
                <w:vertAlign w:val="baseline"/>
                <w:lang w:val="uk-UA"/>
              </w:rPr>
              <w:t>ОИСН</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01-010-06</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sz w:val="22"/>
                <w:szCs w:val="22"/>
                <w:lang w:val="uk-UA"/>
              </w:rPr>
            </w:pPr>
            <w:r>
              <w:rPr>
                <w:i w:val="false"/>
                <w:color w:val="auto"/>
                <w:sz w:val="22"/>
                <w:szCs w:val="22"/>
                <w:vertAlign w:val="superscript"/>
                <w:lang w:val="uk-UA"/>
              </w:rPr>
              <w:t>232</w:t>
            </w:r>
            <w:r>
              <w:rPr>
                <w:i w:val="false"/>
                <w:color w:val="auto"/>
                <w:sz w:val="22"/>
                <w:szCs w:val="22"/>
                <w:lang w:val="uk-UA"/>
              </w:rPr>
              <w:t>Th</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Normal"/>
              <w:widowControl w:val="false"/>
              <w:rPr>
                <w:lang w:val="uk-UA"/>
              </w:rPr>
            </w:pPr>
            <w:r>
              <w:rPr>
                <w:lang w:val="uk-UA"/>
              </w:rPr>
              <w:t>16</w:t>
            </w:r>
          </w:p>
        </w:tc>
        <w:tc>
          <w:tcPr>
            <w:tcW w:w="3233"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Радіонуклідне джерело спеціального призначення ОИСН</w:t>
            </w:r>
          </w:p>
        </w:tc>
        <w:tc>
          <w:tcPr>
            <w:tcW w:w="1822" w:type="dxa"/>
            <w:tcBorders>
              <w:left w:val="single" w:sz="8" w:space="0" w:color="000000"/>
              <w:bottom w:val="single" w:sz="8" w:space="0" w:color="000000"/>
            </w:tcBorders>
            <w:vAlign w:val="center"/>
          </w:tcPr>
          <w:p>
            <w:pPr>
              <w:pStyle w:val="Normal"/>
              <w:widowControl w:val="false"/>
              <w:spacing w:before="0" w:after="0"/>
              <w:ind w:left="0" w:right="0" w:hanging="0"/>
              <w:jc w:val="center"/>
              <w:rPr>
                <w:color w:val="auto"/>
                <w:position w:val="0"/>
                <w:sz w:val="22"/>
                <w:sz w:val="22"/>
                <w:szCs w:val="22"/>
                <w:vertAlign w:val="baseline"/>
                <w:lang w:val="uk-UA"/>
              </w:rPr>
            </w:pPr>
            <w:r>
              <w:rPr>
                <w:color w:val="auto"/>
                <w:position w:val="0"/>
                <w:sz w:val="22"/>
                <w:sz w:val="22"/>
                <w:szCs w:val="22"/>
                <w:vertAlign w:val="baseline"/>
                <w:lang w:val="uk-UA"/>
              </w:rPr>
              <w:t>ОИСН</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01-011-06</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sz w:val="22"/>
                <w:szCs w:val="22"/>
                <w:lang w:val="uk-UA"/>
              </w:rPr>
            </w:pPr>
            <w:r>
              <w:rPr>
                <w:i w:val="false"/>
                <w:color w:val="auto"/>
                <w:sz w:val="22"/>
                <w:szCs w:val="22"/>
                <w:vertAlign w:val="superscript"/>
                <w:lang w:val="uk-UA"/>
              </w:rPr>
              <w:t>226</w:t>
            </w:r>
            <w:r>
              <w:rPr>
                <w:i w:val="false"/>
                <w:color w:val="auto"/>
                <w:sz w:val="22"/>
                <w:szCs w:val="22"/>
                <w:lang w:val="uk-UA"/>
              </w:rPr>
              <w:t>Ra</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Normal"/>
              <w:widowControl w:val="false"/>
              <w:rPr>
                <w:lang w:val="uk-UA"/>
              </w:rPr>
            </w:pPr>
            <w:r>
              <w:rPr>
                <w:lang w:val="uk-UA"/>
              </w:rPr>
              <w:t>17</w:t>
            </w:r>
          </w:p>
        </w:tc>
        <w:tc>
          <w:tcPr>
            <w:tcW w:w="3233"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color w:val="auto"/>
                <w:position w:val="0"/>
                <w:sz w:val="20"/>
                <w:sz w:val="20"/>
                <w:szCs w:val="20"/>
                <w:vertAlign w:val="baseline"/>
                <w:lang w:val="uk-UA"/>
              </w:rPr>
            </w:pPr>
            <w:r>
              <w:rPr>
                <w:i w:val="false"/>
                <w:color w:val="auto"/>
                <w:position w:val="0"/>
                <w:sz w:val="20"/>
                <w:sz w:val="20"/>
                <w:szCs w:val="20"/>
                <w:vertAlign w:val="baseline"/>
                <w:lang w:val="uk-UA"/>
              </w:rPr>
              <w:t>Установка повірочна</w:t>
            </w:r>
          </w:p>
          <w:p>
            <w:pPr>
              <w:pStyle w:val="Style36"/>
              <w:widowControl w:val="false"/>
              <w:tabs>
                <w:tab w:val="clear" w:pos="720"/>
              </w:tabs>
              <w:spacing w:lineRule="auto" w:line="240" w:before="0" w:after="0"/>
              <w:ind w:left="0" w:right="0" w:hanging="0"/>
              <w:jc w:val="left"/>
              <w:rPr>
                <w:rFonts w:ascii="Times New Roman" w:hAnsi="Times New Roman"/>
                <w:i w:val="false"/>
                <w:i w:val="false"/>
                <w:color w:val="auto"/>
                <w:position w:val="0"/>
                <w:sz w:val="20"/>
                <w:sz w:val="20"/>
                <w:szCs w:val="20"/>
                <w:vertAlign w:val="baseline"/>
                <w:lang w:val="uk-UA"/>
              </w:rPr>
            </w:pPr>
            <w:r>
              <w:rPr>
                <w:i w:val="false"/>
                <w:color w:val="auto"/>
                <w:position w:val="0"/>
                <w:sz w:val="20"/>
                <w:sz w:val="20"/>
                <w:szCs w:val="20"/>
                <w:vertAlign w:val="baseline"/>
                <w:lang w:val="uk-UA"/>
              </w:rPr>
              <w:t>гамма-дозиметрична</w:t>
            </w:r>
          </w:p>
        </w:tc>
        <w:tc>
          <w:tcPr>
            <w:tcW w:w="182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УПГД-2</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position w:val="0"/>
                <w:sz w:val="21"/>
                <w:sz w:val="21"/>
                <w:szCs w:val="21"/>
                <w:vertAlign w:val="baseline"/>
                <w:lang w:val="uk-UA"/>
              </w:rPr>
            </w:pPr>
            <w:r>
              <w:rPr>
                <w:i w:val="false"/>
                <w:color w:val="auto"/>
                <w:position w:val="0"/>
                <w:sz w:val="21"/>
                <w:sz w:val="21"/>
                <w:szCs w:val="21"/>
                <w:vertAlign w:val="baseline"/>
                <w:lang w:val="uk-UA"/>
              </w:rPr>
              <w:t>РЕТУ-12-06-02-02</w:t>
            </w:r>
          </w:p>
        </w:tc>
        <w:tc>
          <w:tcPr>
            <w:tcW w:w="144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03</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(7 джерел</w:t>
            </w:r>
            <w:r>
              <w:rPr>
                <w:rFonts w:eastAsia="Times New Roman"/>
                <w:i w:val="false"/>
                <w:color w:val="auto"/>
                <w:position w:val="0"/>
                <w:sz w:val="22"/>
                <w:sz w:val="22"/>
                <w:szCs w:val="22"/>
                <w:vertAlign w:val="baseline"/>
                <w:lang w:val="uk-UA"/>
              </w:rPr>
              <w:t>)</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60</w:t>
            </w:r>
            <w:r>
              <w:rPr>
                <w:i w:val="false"/>
                <w:color w:val="000000"/>
                <w:sz w:val="22"/>
                <w:szCs w:val="22"/>
                <w:lang w:val="uk-UA"/>
              </w:rPr>
              <w:t>Co</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241</w:t>
            </w:r>
            <w:r>
              <w:rPr>
                <w:i w:val="false"/>
                <w:color w:val="000000"/>
                <w:sz w:val="22"/>
                <w:szCs w:val="22"/>
                <w:lang w:val="uk-UA"/>
              </w:rPr>
              <w:t>Am</w:t>
            </w:r>
          </w:p>
        </w:tc>
        <w:tc>
          <w:tcPr>
            <w:tcW w:w="1664" w:type="dxa"/>
            <w:tcBorders>
              <w:left w:val="single" w:sz="8" w:space="0" w:color="000000"/>
              <w:bottom w:val="single" w:sz="8" w:space="0" w:color="000000"/>
              <w:right w:val="single" w:sz="8" w:space="0" w:color="000000"/>
            </w:tcBorders>
            <w:vAlign w:val="center"/>
          </w:tcPr>
          <w:p>
            <w:pPr>
              <w:pStyle w:val="Normal"/>
              <w:widowControl w:val="false"/>
              <w:tabs>
                <w:tab w:val="clear" w:pos="720"/>
              </w:tabs>
              <w:snapToGrid w:val="false"/>
              <w:spacing w:lineRule="auto" w:line="240" w:before="0" w:after="0"/>
              <w:ind w:left="0" w:right="0" w:hanging="0"/>
              <w:jc w:val="center"/>
              <w:rPr>
                <w:rFonts w:ascii="Times New Roman" w:hAnsi="Times New Roman"/>
                <w:i w:val="false"/>
                <w:i w:val="false"/>
                <w:color w:val="000000"/>
                <w:sz w:val="20"/>
                <w:szCs w:val="20"/>
                <w:lang w:val="uk-UA"/>
              </w:rPr>
            </w:pPr>
            <w:r>
              <w:rPr>
                <w:i w:val="false"/>
                <w:color w:val="000000"/>
                <w:sz w:val="20"/>
                <w:szCs w:val="20"/>
                <w:lang w:val="uk-UA"/>
              </w:rPr>
              <w:t>5,0÷8,0</w:t>
            </w:r>
          </w:p>
        </w:tc>
      </w:tr>
      <w:tr>
        <w:trPr/>
        <w:tc>
          <w:tcPr>
            <w:tcW w:w="395" w:type="dxa"/>
            <w:tcBorders>
              <w:left w:val="single" w:sz="8" w:space="0" w:color="000000"/>
              <w:bottom w:val="single" w:sz="8" w:space="0" w:color="000000"/>
            </w:tcBorders>
            <w:vAlign w:val="center"/>
          </w:tcPr>
          <w:p>
            <w:pPr>
              <w:pStyle w:val="Normal"/>
              <w:widowControl w:val="false"/>
              <w:rPr>
                <w:lang w:val="uk-UA"/>
              </w:rPr>
            </w:pPr>
            <w:r>
              <w:rPr>
                <w:lang w:val="uk-UA"/>
              </w:rPr>
              <w:t>18</w:t>
            </w:r>
          </w:p>
        </w:tc>
        <w:tc>
          <w:tcPr>
            <w:tcW w:w="3233"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color w:val="auto"/>
                <w:position w:val="0"/>
                <w:sz w:val="20"/>
                <w:sz w:val="20"/>
                <w:szCs w:val="20"/>
                <w:vertAlign w:val="baseline"/>
                <w:lang w:val="uk-UA"/>
              </w:rPr>
            </w:pPr>
            <w:r>
              <w:rPr>
                <w:i w:val="false"/>
                <w:color w:val="auto"/>
                <w:position w:val="0"/>
                <w:sz w:val="20"/>
                <w:sz w:val="20"/>
                <w:szCs w:val="20"/>
                <w:vertAlign w:val="baseline"/>
                <w:lang w:val="uk-UA"/>
              </w:rPr>
              <w:t>Установка повірочна дозиметрична (потужності експозиційної дози гамма-випромінення)</w:t>
            </w:r>
          </w:p>
        </w:tc>
        <w:tc>
          <w:tcPr>
            <w:tcW w:w="182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УПГД-2</w:t>
            </w:r>
          </w:p>
        </w:tc>
        <w:tc>
          <w:tcPr>
            <w:tcW w:w="144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03</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(2 джерела)</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auto"/>
                <w:sz w:val="22"/>
                <w:szCs w:val="22"/>
                <w:lang w:val="uk-UA"/>
              </w:rPr>
            </w:pPr>
            <w:r>
              <w:rPr>
                <w:i w:val="false"/>
                <w:color w:val="auto"/>
                <w:sz w:val="22"/>
                <w:szCs w:val="22"/>
                <w:vertAlign w:val="superscript"/>
                <w:lang w:val="uk-UA"/>
              </w:rPr>
              <w:t>226</w:t>
            </w:r>
            <w:r>
              <w:rPr>
                <w:i w:val="false"/>
                <w:color w:val="auto"/>
                <w:sz w:val="22"/>
                <w:szCs w:val="22"/>
                <w:lang w:val="uk-UA"/>
              </w:rPr>
              <w:t>Ra</w:t>
            </w:r>
          </w:p>
        </w:tc>
        <w:tc>
          <w:tcPr>
            <w:tcW w:w="1664" w:type="dxa"/>
            <w:tcBorders>
              <w:left w:val="single" w:sz="8" w:space="0" w:color="000000"/>
              <w:bottom w:val="single" w:sz="8" w:space="0" w:color="000000"/>
              <w:right w:val="single" w:sz="8" w:space="0" w:color="000000"/>
            </w:tcBorders>
            <w:vAlign w:val="center"/>
          </w:tcPr>
          <w:p>
            <w:pPr>
              <w:pStyle w:val="Style36"/>
              <w:widowControl w:val="false"/>
              <w:jc w:val="center"/>
              <w:rPr>
                <w:sz w:val="22"/>
                <w:szCs w:val="22"/>
                <w:lang w:val="uk-UA"/>
              </w:rPr>
            </w:pPr>
            <w:r>
              <w:rPr>
                <w:sz w:val="22"/>
                <w:szCs w:val="22"/>
                <w:lang w:val="uk-UA"/>
              </w:rPr>
              <w:t>4,0</w:t>
            </w:r>
          </w:p>
        </w:tc>
      </w:tr>
      <w:tr>
        <w:trPr/>
        <w:tc>
          <w:tcPr>
            <w:tcW w:w="395" w:type="dxa"/>
            <w:vMerge w:val="restart"/>
            <w:tcBorders>
              <w:left w:val="single" w:sz="8" w:space="0" w:color="000000"/>
              <w:bottom w:val="single" w:sz="8" w:space="0" w:color="000000"/>
            </w:tcBorders>
            <w:vAlign w:val="center"/>
          </w:tcPr>
          <w:p>
            <w:pPr>
              <w:pStyle w:val="Normal"/>
              <w:widowControl w:val="false"/>
              <w:rPr>
                <w:lang w:val="uk-UA"/>
              </w:rPr>
            </w:pPr>
            <w:r>
              <w:rPr>
                <w:lang w:val="uk-UA"/>
              </w:rPr>
              <w:t>19</w:t>
            </w:r>
          </w:p>
        </w:tc>
        <w:tc>
          <w:tcPr>
            <w:tcW w:w="3233" w:type="dxa"/>
            <w:vMerge w:val="restart"/>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sz w:val="20"/>
                <w:szCs w:val="20"/>
                <w:lang w:val="uk-UA"/>
              </w:rPr>
            </w:pPr>
            <w:r>
              <w:rPr>
                <w:i w:val="false"/>
                <w:sz w:val="20"/>
                <w:szCs w:val="20"/>
                <w:lang w:val="uk-UA"/>
              </w:rPr>
              <w:t>Комплект джерел спеціального призначення типу РДСП</w:t>
            </w:r>
          </w:p>
        </w:tc>
        <w:tc>
          <w:tcPr>
            <w:tcW w:w="1822" w:type="dxa"/>
            <w:vMerge w:val="restart"/>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РДСП</w:t>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20-2</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vMerge w:val="restart"/>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vMerge w:val="continue"/>
            <w:tcBorders>
              <w:left w:val="single" w:sz="8" w:space="0" w:color="000000"/>
              <w:bottom w:val="single" w:sz="8" w:space="0" w:color="000000"/>
            </w:tcBorders>
            <w:vAlign w:val="center"/>
          </w:tcPr>
          <w:p>
            <w:pPr>
              <w:pStyle w:val="Normal"/>
              <w:widowControl w:val="false"/>
              <w:rPr/>
            </w:pPr>
            <w:r>
              <w:rPr/>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20-6</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40</w:t>
            </w:r>
            <w:r>
              <w:rPr>
                <w:i w:val="false"/>
                <w:color w:val="000000"/>
                <w:sz w:val="22"/>
                <w:szCs w:val="22"/>
                <w:lang w:val="uk-UA"/>
              </w:rPr>
              <w:t>K</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vMerge w:val="continue"/>
            <w:tcBorders>
              <w:left w:val="single" w:sz="8" w:space="0" w:color="000000"/>
              <w:bottom w:val="single" w:sz="8" w:space="0" w:color="000000"/>
            </w:tcBorders>
            <w:vAlign w:val="center"/>
          </w:tcPr>
          <w:p>
            <w:pPr>
              <w:pStyle w:val="Normal"/>
              <w:widowControl w:val="false"/>
              <w:rPr/>
            </w:pPr>
            <w:r>
              <w:rPr/>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20-7</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226</w:t>
            </w:r>
            <w:r>
              <w:rPr>
                <w:i w:val="false"/>
                <w:color w:val="000000"/>
                <w:sz w:val="22"/>
                <w:szCs w:val="22"/>
                <w:lang w:val="uk-UA"/>
              </w:rPr>
              <w:t>Ra</w:t>
            </w:r>
          </w:p>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232</w:t>
            </w:r>
            <w:r>
              <w:rPr>
                <w:i w:val="false"/>
                <w:color w:val="000000"/>
                <w:sz w:val="22"/>
                <w:szCs w:val="22"/>
                <w:lang w:val="uk-UA"/>
              </w:rPr>
              <w:t>Th</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vMerge w:val="continue"/>
            <w:tcBorders>
              <w:left w:val="single" w:sz="8" w:space="0" w:color="000000"/>
              <w:bottom w:val="single" w:sz="8" w:space="0" w:color="000000"/>
            </w:tcBorders>
            <w:vAlign w:val="center"/>
          </w:tcPr>
          <w:p>
            <w:pPr>
              <w:pStyle w:val="Normal"/>
              <w:widowControl w:val="false"/>
              <w:rPr/>
            </w:pPr>
            <w:r>
              <w:rPr/>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20-14</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c>
          <w:tcPr>
            <w:tcW w:w="395" w:type="dxa"/>
            <w:vMerge w:val="restart"/>
            <w:tcBorders>
              <w:left w:val="single" w:sz="8" w:space="0" w:color="000000"/>
              <w:bottom w:val="single" w:sz="8" w:space="0" w:color="000000"/>
            </w:tcBorders>
            <w:vAlign w:val="center"/>
          </w:tcPr>
          <w:p>
            <w:pPr>
              <w:pStyle w:val="Normal"/>
              <w:widowControl w:val="false"/>
              <w:rPr>
                <w:lang w:val="uk-UA"/>
              </w:rPr>
            </w:pPr>
            <w:r>
              <w:rPr>
                <w:lang w:val="uk-UA"/>
              </w:rPr>
              <w:t>20</w:t>
            </w:r>
          </w:p>
        </w:tc>
        <w:tc>
          <w:tcPr>
            <w:tcW w:w="3233" w:type="dxa"/>
            <w:vMerge w:val="restart"/>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sz w:val="20"/>
                <w:szCs w:val="20"/>
                <w:lang w:val="uk-UA"/>
              </w:rPr>
            </w:pPr>
            <w:r>
              <w:rPr>
                <w:i w:val="false"/>
                <w:sz w:val="20"/>
                <w:szCs w:val="20"/>
                <w:lang w:val="uk-UA"/>
              </w:rPr>
              <w:t>Комплект джерел спеціального призначення</w:t>
            </w:r>
          </w:p>
          <w:p>
            <w:pPr>
              <w:pStyle w:val="Style36"/>
              <w:widowControl w:val="false"/>
              <w:tabs>
                <w:tab w:val="clear" w:pos="720"/>
              </w:tabs>
              <w:spacing w:lineRule="auto" w:line="240" w:before="0" w:after="0"/>
              <w:ind w:left="0" w:right="0" w:hanging="0"/>
              <w:jc w:val="left"/>
              <w:rPr>
                <w:rFonts w:ascii="Times New Roman" w:hAnsi="Times New Roman"/>
                <w:i w:val="false"/>
                <w:i w:val="false"/>
                <w:sz w:val="20"/>
                <w:szCs w:val="20"/>
                <w:lang w:val="uk-UA"/>
              </w:rPr>
            </w:pPr>
            <w:r>
              <w:rPr>
                <w:i w:val="false"/>
                <w:sz w:val="20"/>
                <w:szCs w:val="20"/>
                <w:lang w:val="uk-UA"/>
              </w:rPr>
              <w:t>типу КОИСН-3</w:t>
            </w:r>
          </w:p>
        </w:tc>
        <w:tc>
          <w:tcPr>
            <w:tcW w:w="1822" w:type="dxa"/>
            <w:vMerge w:val="restart"/>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КОИСН-3</w:t>
            </w:r>
          </w:p>
        </w:tc>
        <w:tc>
          <w:tcPr>
            <w:tcW w:w="144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242</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90</w:t>
            </w:r>
            <w:r>
              <w:rPr>
                <w:i w:val="false"/>
                <w:color w:val="000000"/>
                <w:sz w:val="22"/>
                <w:szCs w:val="22"/>
                <w:lang w:val="uk-UA"/>
              </w:rPr>
              <w:t>Sr</w:t>
            </w:r>
          </w:p>
        </w:tc>
        <w:tc>
          <w:tcPr>
            <w:tcW w:w="1664" w:type="dxa"/>
            <w:vMerge w:val="restart"/>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vMerge w:val="continue"/>
            <w:tcBorders>
              <w:left w:val="single" w:sz="8" w:space="0" w:color="000000"/>
              <w:bottom w:val="single" w:sz="8" w:space="0" w:color="000000"/>
            </w:tcBorders>
            <w:vAlign w:val="center"/>
          </w:tcPr>
          <w:p>
            <w:pPr>
              <w:pStyle w:val="Normal"/>
              <w:widowControl w:val="false"/>
              <w:rPr/>
            </w:pPr>
            <w:r>
              <w:rPr/>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243</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vMerge w:val="continue"/>
            <w:tcBorders>
              <w:left w:val="single" w:sz="8" w:space="0" w:color="000000"/>
              <w:bottom w:val="single" w:sz="8" w:space="0" w:color="000000"/>
            </w:tcBorders>
            <w:vAlign w:val="center"/>
          </w:tcPr>
          <w:p>
            <w:pPr>
              <w:pStyle w:val="Normal"/>
              <w:widowControl w:val="false"/>
              <w:rPr/>
            </w:pPr>
            <w:r>
              <w:rPr/>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247</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226</w:t>
            </w:r>
            <w:r>
              <w:rPr>
                <w:i w:val="false"/>
                <w:color w:val="000000"/>
                <w:sz w:val="22"/>
                <w:szCs w:val="22"/>
                <w:lang w:val="uk-UA"/>
              </w:rPr>
              <w:t>Ra</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c>
          <w:tcPr>
            <w:tcW w:w="395" w:type="dxa"/>
            <w:vMerge w:val="continue"/>
            <w:tcBorders>
              <w:left w:val="single" w:sz="8" w:space="0" w:color="000000"/>
              <w:bottom w:val="single" w:sz="8" w:space="0" w:color="000000"/>
            </w:tcBorders>
            <w:vAlign w:val="center"/>
          </w:tcPr>
          <w:p>
            <w:pPr>
              <w:pStyle w:val="Normal"/>
              <w:widowControl w:val="false"/>
              <w:rPr/>
            </w:pPr>
            <w:r>
              <w:rPr/>
            </w:r>
          </w:p>
        </w:tc>
        <w:tc>
          <w:tcPr>
            <w:tcW w:w="3233" w:type="dxa"/>
            <w:vMerge w:val="continue"/>
            <w:tcBorders>
              <w:left w:val="single" w:sz="8" w:space="0" w:color="000000"/>
              <w:bottom w:val="single" w:sz="8" w:space="0" w:color="000000"/>
            </w:tcBorders>
            <w:vAlign w:val="center"/>
          </w:tcPr>
          <w:p>
            <w:pPr>
              <w:pStyle w:val="Normal"/>
              <w:widowControl w:val="false"/>
              <w:rPr/>
            </w:pPr>
            <w:r>
              <w:rPr/>
            </w:r>
          </w:p>
        </w:tc>
        <w:tc>
          <w:tcPr>
            <w:tcW w:w="1822" w:type="dxa"/>
            <w:vMerge w:val="continue"/>
            <w:tcBorders>
              <w:left w:val="single" w:sz="8" w:space="0" w:color="000000"/>
              <w:bottom w:val="single" w:sz="8" w:space="0" w:color="000000"/>
            </w:tcBorders>
            <w:vAlign w:val="center"/>
          </w:tcPr>
          <w:p>
            <w:pPr>
              <w:pStyle w:val="Normal"/>
              <w:widowControl w:val="false"/>
              <w:rPr/>
            </w:pPr>
            <w:r>
              <w:rPr/>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249</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232</w:t>
            </w:r>
            <w:r>
              <w:rPr>
                <w:i w:val="false"/>
                <w:color w:val="000000"/>
                <w:sz w:val="22"/>
                <w:szCs w:val="22"/>
                <w:lang w:val="uk-UA"/>
              </w:rPr>
              <w:t>Th</w:t>
            </w:r>
          </w:p>
        </w:tc>
        <w:tc>
          <w:tcPr>
            <w:tcW w:w="1664" w:type="dxa"/>
            <w:vMerge w:val="continue"/>
            <w:tcBorders>
              <w:left w:val="single" w:sz="8" w:space="0" w:color="000000"/>
              <w:bottom w:val="single" w:sz="8" w:space="0" w:color="000000"/>
              <w:right w:val="single" w:sz="8" w:space="0" w:color="000000"/>
            </w:tcBorders>
            <w:vAlign w:val="center"/>
          </w:tcPr>
          <w:p>
            <w:pPr>
              <w:pStyle w:val="Normal"/>
              <w:widowControl w:val="false"/>
              <w:rPr/>
            </w:pPr>
            <w:r>
              <w:rPr/>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eastAsia="Times New Roman"/>
                <w:i w:val="false"/>
                <w:i w:val="false"/>
                <w:color w:val="000000"/>
                <w:sz w:val="22"/>
                <w:szCs w:val="22"/>
                <w:lang w:val="uk-UA"/>
              </w:rPr>
            </w:pPr>
            <w:r>
              <w:rPr>
                <w:rFonts w:eastAsia="Times New Roman"/>
                <w:i w:val="false"/>
                <w:color w:val="000000"/>
                <w:sz w:val="22"/>
                <w:szCs w:val="22"/>
                <w:lang w:val="uk-UA"/>
              </w:rPr>
              <w:t>21</w:t>
            </w:r>
          </w:p>
        </w:tc>
        <w:tc>
          <w:tcPr>
            <w:tcW w:w="3233"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left"/>
              <w:rPr/>
            </w:pPr>
            <w:r>
              <w:rPr>
                <w:i w:val="false"/>
                <w:color w:val="000000"/>
                <w:position w:val="0"/>
                <w:sz w:val="20"/>
                <w:sz w:val="20"/>
                <w:szCs w:val="20"/>
                <w:vertAlign w:val="baseline"/>
                <w:lang w:val="uk-UA"/>
              </w:rPr>
              <w:t xml:space="preserve">Еталонне радіонуклідне джерело спеціального призначення типу </w:t>
            </w:r>
            <w:r>
              <w:rPr>
                <w:rFonts w:eastAsia="Times New Roman"/>
                <w:i w:val="false"/>
                <w:color w:val="000000"/>
                <w:position w:val="0"/>
                <w:sz w:val="20"/>
                <w:sz w:val="20"/>
                <w:szCs w:val="20"/>
                <w:vertAlign w:val="baseline"/>
                <w:lang w:val="uk-UA"/>
              </w:rPr>
              <w:t>ОС</w:t>
            </w:r>
            <w:r>
              <w:rPr>
                <w:i w:val="false"/>
                <w:color w:val="000000"/>
                <w:position w:val="0"/>
                <w:sz w:val="20"/>
                <w:sz w:val="20"/>
                <w:szCs w:val="20"/>
                <w:vertAlign w:val="baseline"/>
                <w:lang w:val="uk-UA"/>
              </w:rPr>
              <w:t>ГИ</w:t>
            </w:r>
          </w:p>
        </w:tc>
        <w:tc>
          <w:tcPr>
            <w:tcW w:w="182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eastAsia="Times New Roman"/>
                <w:i w:val="false"/>
                <w:i w:val="false"/>
                <w:color w:val="000000"/>
                <w:position w:val="0"/>
                <w:sz w:val="22"/>
                <w:sz w:val="22"/>
                <w:szCs w:val="22"/>
                <w:vertAlign w:val="baseline"/>
                <w:lang w:val="uk-UA"/>
              </w:rPr>
            </w:pPr>
            <w:r>
              <w:rPr>
                <w:rFonts w:eastAsia="Times New Roman"/>
                <w:i w:val="false"/>
                <w:color w:val="000000"/>
                <w:position w:val="0"/>
                <w:sz w:val="22"/>
                <w:sz w:val="22"/>
                <w:szCs w:val="22"/>
                <w:vertAlign w:val="baseline"/>
                <w:lang w:val="uk-UA"/>
              </w:rPr>
              <w:t>ОСГИ</w:t>
            </w:r>
          </w:p>
          <w:p>
            <w:pPr>
              <w:pStyle w:val="Normal"/>
              <w:widowControl w:val="false"/>
              <w:tabs>
                <w:tab w:val="clear" w:pos="720"/>
              </w:tabs>
              <w:spacing w:lineRule="auto" w:line="240" w:before="0" w:after="0"/>
              <w:ind w:left="0" w:right="0" w:hanging="0"/>
              <w:jc w:val="center"/>
              <w:rPr>
                <w:rFonts w:ascii="Times New Roman" w:hAnsi="Times New Roman" w:eastAsia="Times New Roman"/>
                <w:i w:val="false"/>
                <w:i w:val="false"/>
                <w:color w:val="000000"/>
                <w:position w:val="0"/>
                <w:sz w:val="22"/>
                <w:sz w:val="22"/>
                <w:szCs w:val="22"/>
                <w:vertAlign w:val="baseline"/>
                <w:lang w:val="uk-UA"/>
              </w:rPr>
            </w:pPr>
            <w:r>
              <w:rPr>
                <w:rFonts w:eastAsia="Times New Roman"/>
                <w:i w:val="false"/>
                <w:color w:val="000000"/>
                <w:position w:val="0"/>
                <w:sz w:val="22"/>
                <w:sz w:val="22"/>
                <w:szCs w:val="22"/>
                <w:vertAlign w:val="baseline"/>
                <w:lang w:val="uk-UA"/>
              </w:rPr>
              <w:t>(GF-137-10D)</w:t>
            </w:r>
          </w:p>
        </w:tc>
        <w:tc>
          <w:tcPr>
            <w:tcW w:w="1442" w:type="dxa"/>
            <w:tcBorders>
              <w:left w:val="single" w:sz="8" w:space="0" w:color="000000"/>
              <w:bottom w:val="single" w:sz="8" w:space="0" w:color="000000"/>
            </w:tcBorders>
            <w:vAlign w:val="center"/>
          </w:tcPr>
          <w:p>
            <w:pPr>
              <w:pStyle w:val="Normal"/>
              <w:widowControl w:val="false"/>
              <w:tabs>
                <w:tab w:val="clear" w:pos="720"/>
              </w:tabs>
              <w:spacing w:before="0" w:after="0"/>
              <w:ind w:left="0" w:right="0" w:hanging="0"/>
              <w:jc w:val="center"/>
              <w:rPr>
                <w:rFonts w:ascii="Times New Roman" w:hAnsi="Times New Roman" w:eastAsia="Times New Roman"/>
                <w:i w:val="false"/>
                <w:i w:val="false"/>
                <w:color w:val="auto"/>
                <w:position w:val="0"/>
                <w:sz w:val="22"/>
                <w:sz w:val="22"/>
                <w:szCs w:val="22"/>
                <w:vertAlign w:val="baseline"/>
                <w:lang w:val="uk-UA"/>
              </w:rPr>
            </w:pPr>
            <w:r>
              <w:rPr>
                <w:rFonts w:eastAsia="Times New Roman"/>
                <w:i w:val="false"/>
                <w:color w:val="auto"/>
                <w:position w:val="0"/>
                <w:sz w:val="22"/>
                <w:sz w:val="22"/>
                <w:szCs w:val="22"/>
                <w:vertAlign w:val="baseline"/>
                <w:lang w:val="uk-UA"/>
              </w:rPr>
              <w:t>1351-64-17</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pPr>
            <w:r>
              <w:rPr>
                <w:rFonts w:eastAsia="Times New Roman"/>
                <w:i w:val="false"/>
                <w:color w:val="000000"/>
                <w:sz w:val="22"/>
                <w:szCs w:val="22"/>
                <w:lang w:val="uk-UA"/>
              </w:rPr>
              <w:t>3</w:t>
            </w:r>
            <w:r>
              <w:rPr>
                <w:i w:val="false"/>
                <w:color w:val="000000"/>
                <w:sz w:val="22"/>
                <w:szCs w:val="22"/>
                <w:lang w:val="uk-UA"/>
              </w:rPr>
              <w:t>,0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eastAsia="Times New Roman"/>
                <w:i w:val="false"/>
                <w:i w:val="false"/>
                <w:color w:val="000000"/>
                <w:sz w:val="22"/>
                <w:szCs w:val="22"/>
                <w:lang w:val="uk-UA"/>
              </w:rPr>
            </w:pPr>
            <w:r>
              <w:rPr>
                <w:rFonts w:eastAsia="Times New Roman"/>
                <w:i w:val="false"/>
                <w:color w:val="000000"/>
                <w:sz w:val="22"/>
                <w:szCs w:val="22"/>
                <w:lang w:val="uk-UA"/>
              </w:rPr>
              <w:t>22</w:t>
            </w:r>
          </w:p>
        </w:tc>
        <w:tc>
          <w:tcPr>
            <w:tcW w:w="3233" w:type="dxa"/>
            <w:tcBorders>
              <w:left w:val="single" w:sz="8" w:space="0" w:color="000000"/>
              <w:bottom w:val="single" w:sz="8" w:space="0" w:color="000000"/>
            </w:tcBorders>
            <w:vAlign w:val="center"/>
          </w:tcPr>
          <w:p>
            <w:pPr>
              <w:pStyle w:val="Standard"/>
              <w:widowControl w:val="false"/>
              <w:bidi w:val="0"/>
              <w:jc w:val="left"/>
              <w:rPr>
                <w:sz w:val="20"/>
                <w:szCs w:val="20"/>
                <w:lang w:val="uk-UA"/>
              </w:rPr>
            </w:pPr>
            <w:r>
              <w:rPr>
                <w:sz w:val="20"/>
                <w:szCs w:val="20"/>
                <w:lang w:val="uk-UA"/>
              </w:rPr>
              <w:t>Дозиметр універсальний</w:t>
            </w:r>
          </w:p>
          <w:p>
            <w:pPr>
              <w:pStyle w:val="Standard"/>
              <w:widowControl w:val="false"/>
              <w:tabs>
                <w:tab w:val="clear" w:pos="720"/>
              </w:tabs>
              <w:suppressAutoHyphens w:val="true"/>
              <w:bidi w:val="0"/>
              <w:spacing w:lineRule="auto" w:line="240" w:before="0" w:after="0"/>
              <w:ind w:left="0" w:right="0" w:hanging="0"/>
              <w:jc w:val="left"/>
              <w:textAlignment w:val="baseline"/>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ДКС-АТ5350/1, з іонізаційною камерою типу ТМ 30013 та з іонізаційною камерою типу ТМ 23342</w:t>
            </w:r>
          </w:p>
        </w:tc>
        <w:tc>
          <w:tcPr>
            <w:tcW w:w="1822" w:type="dxa"/>
            <w:tcBorders>
              <w:left w:val="single" w:sz="8" w:space="0" w:color="000000"/>
              <w:bottom w:val="single" w:sz="8" w:space="0" w:color="000000"/>
            </w:tcBorders>
            <w:vAlign w:val="center"/>
          </w:tcPr>
          <w:p>
            <w:pPr>
              <w:pStyle w:val="Standard"/>
              <w:widowControl w:val="false"/>
              <w:shd w:val="clear" w:fill="FFFFFF"/>
              <w:tabs>
                <w:tab w:val="clear" w:pos="720"/>
              </w:tabs>
              <w:bidi w:val="0"/>
              <w:snapToGrid w:val="false"/>
              <w:spacing w:before="0" w:after="0"/>
              <w:ind w:left="0" w:right="0" w:hanging="0"/>
              <w:jc w:val="center"/>
              <w:rPr>
                <w:rFonts w:ascii="Times New Roman" w:hAnsi="Times New Roman"/>
                <w:i w:val="false"/>
                <w:i w:val="false"/>
                <w:color w:val="000000"/>
                <w:position w:val="0"/>
                <w:sz w:val="20"/>
                <w:sz w:val="20"/>
                <w:szCs w:val="20"/>
                <w:vertAlign w:val="baseline"/>
                <w:lang w:val="uk-UA"/>
              </w:rPr>
            </w:pPr>
            <w:r>
              <w:rPr>
                <w:i w:val="false"/>
                <w:color w:val="000000"/>
                <w:position w:val="0"/>
                <w:sz w:val="20"/>
                <w:sz w:val="20"/>
                <w:szCs w:val="20"/>
                <w:vertAlign w:val="baseline"/>
                <w:lang w:val="uk-UA"/>
              </w:rPr>
              <w:t>РЕТУ 12-05/06-15</w:t>
            </w:r>
          </w:p>
        </w:tc>
        <w:tc>
          <w:tcPr>
            <w:tcW w:w="144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sz w:val="22"/>
                <w:szCs w:val="22"/>
                <w:lang w:val="uk-UA"/>
              </w:rPr>
            </w:pPr>
            <w:r>
              <w:rPr>
                <w:i w:val="false"/>
                <w:sz w:val="22"/>
                <w:szCs w:val="22"/>
                <w:lang w:val="uk-UA"/>
              </w:rPr>
              <w:t>10543</w:t>
            </w:r>
          </w:p>
        </w:tc>
        <w:tc>
          <w:tcPr>
            <w:tcW w:w="1828" w:type="dxa"/>
            <w:tcBorders>
              <w:left w:val="single" w:sz="8" w:space="0" w:color="000000"/>
              <w:bottom w:val="single" w:sz="8" w:space="0" w:color="000000"/>
            </w:tcBorders>
            <w:vAlign w:val="center"/>
          </w:tcPr>
          <w:p>
            <w:pPr>
              <w:pStyle w:val="Standard"/>
              <w:widowControl w:val="false"/>
              <w:bidi w:val="0"/>
              <w:jc w:val="center"/>
              <w:rPr>
                <w:sz w:val="18"/>
                <w:szCs w:val="18"/>
                <w:lang w:val="uk-UA"/>
              </w:rPr>
            </w:pPr>
            <w:r>
              <w:rPr>
                <w:sz w:val="18"/>
                <w:szCs w:val="18"/>
                <w:lang w:val="uk-UA"/>
              </w:rPr>
              <w:t>Потужність керми у повітрі та керма у повітрі рентгенівського випромінення.</w:t>
            </w:r>
          </w:p>
          <w:p>
            <w:pPr>
              <w:pStyle w:val="Standard"/>
              <w:widowControl w:val="false"/>
              <w:tabs>
                <w:tab w:val="clear" w:pos="720"/>
              </w:tabs>
              <w:bidi w:val="0"/>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18"/>
                <w:szCs w:val="18"/>
                <w:lang w:val="uk-UA"/>
              </w:rPr>
              <w:t>Потужність амбієнтного еквіваленту дози та амбієнтний еквівалент дози рентгенівського випромінення</w:t>
            </w:r>
            <w:r>
              <w:rPr>
                <w:rFonts w:eastAsia="Times New Roman"/>
                <w:i w:val="false"/>
                <w:color w:val="000000"/>
                <w:sz w:val="20"/>
                <w:szCs w:val="20"/>
                <w:lang w:val="uk-UA"/>
              </w:rPr>
              <w:t>.</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3,0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eastAsia="Times New Roman"/>
                <w:i w:val="false"/>
                <w:i w:val="false"/>
                <w:color w:val="000000"/>
                <w:sz w:val="22"/>
                <w:szCs w:val="22"/>
                <w:lang w:val="uk-UA"/>
              </w:rPr>
            </w:pPr>
            <w:r>
              <w:rPr>
                <w:rFonts w:eastAsia="Times New Roman"/>
                <w:i w:val="false"/>
                <w:color w:val="000000"/>
                <w:sz w:val="22"/>
                <w:szCs w:val="22"/>
                <w:lang w:val="uk-UA"/>
              </w:rPr>
              <w:t>23</w:t>
            </w:r>
          </w:p>
        </w:tc>
        <w:tc>
          <w:tcPr>
            <w:tcW w:w="3233"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Робоче еталонне радіонуклідне джерело спеціального призначення типу КИТ-1</w:t>
            </w:r>
          </w:p>
        </w:tc>
        <w:tc>
          <w:tcPr>
            <w:tcW w:w="182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КИТ-1</w:t>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04-794-16</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241</w:t>
            </w:r>
            <w:r>
              <w:rPr>
                <w:i w:val="false"/>
                <w:color w:val="000000"/>
                <w:sz w:val="22"/>
                <w:szCs w:val="22"/>
                <w:lang w:val="uk-UA"/>
              </w:rPr>
              <w:t>Am</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3,0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eastAsia="Times New Roman"/>
                <w:i w:val="false"/>
                <w:i w:val="false"/>
                <w:color w:val="000000"/>
                <w:sz w:val="22"/>
                <w:szCs w:val="22"/>
                <w:lang w:val="uk-UA"/>
              </w:rPr>
            </w:pPr>
            <w:r>
              <w:rPr>
                <w:rFonts w:eastAsia="Times New Roman"/>
                <w:i w:val="false"/>
                <w:color w:val="000000"/>
                <w:sz w:val="22"/>
                <w:szCs w:val="22"/>
                <w:lang w:val="uk-UA"/>
              </w:rPr>
              <w:t>24</w:t>
            </w:r>
          </w:p>
        </w:tc>
        <w:tc>
          <w:tcPr>
            <w:tcW w:w="3233"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left"/>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Робоче еталонне радіонуклідне джерело спеціального призначення типу КИТ-1</w:t>
            </w:r>
          </w:p>
        </w:tc>
        <w:tc>
          <w:tcPr>
            <w:tcW w:w="182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КИТ-1</w:t>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04-795-16</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152</w:t>
            </w:r>
            <w:r>
              <w:rPr>
                <w:i w:val="false"/>
                <w:color w:val="000000"/>
                <w:sz w:val="22"/>
                <w:szCs w:val="22"/>
                <w:lang w:val="uk-UA"/>
              </w:rPr>
              <w:t>Eu</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3,0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25</w:t>
            </w:r>
          </w:p>
        </w:tc>
        <w:tc>
          <w:tcPr>
            <w:tcW w:w="3233" w:type="dxa"/>
            <w:tcBorders>
              <w:left w:val="single" w:sz="8" w:space="0" w:color="000000"/>
              <w:bottom w:val="single" w:sz="8" w:space="0" w:color="000000"/>
            </w:tcBorders>
            <w:vAlign w:val="center"/>
          </w:tcPr>
          <w:p>
            <w:pPr>
              <w:pStyle w:val="Standard"/>
              <w:widowControl w:val="false"/>
              <w:tabs>
                <w:tab w:val="clear" w:pos="720"/>
              </w:tabs>
              <w:bidi w:val="0"/>
              <w:spacing w:lineRule="auto" w:line="240" w:before="0" w:after="0"/>
              <w:ind w:left="0" w:right="0" w:hanging="0"/>
              <w:jc w:val="left"/>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Комплект радіонуклідних джерел спеціального призначення</w:t>
            </w:r>
          </w:p>
        </w:tc>
        <w:tc>
          <w:tcPr>
            <w:tcW w:w="1822" w:type="dxa"/>
            <w:tcBorders>
              <w:left w:val="single" w:sz="8" w:space="0" w:color="000000"/>
              <w:bottom w:val="single" w:sz="8" w:space="0" w:color="000000"/>
            </w:tcBorders>
            <w:vAlign w:val="center"/>
          </w:tcPr>
          <w:p>
            <w:pPr>
              <w:pStyle w:val="Style36"/>
              <w:widowControl w:val="false"/>
              <w:tabs>
                <w:tab w:val="clear" w:pos="720"/>
              </w:tabs>
              <w:spacing w:before="0" w:after="0"/>
              <w:ind w:left="0" w:right="0" w:hanging="0"/>
              <w:jc w:val="center"/>
              <w:rPr>
                <w:rFonts w:ascii="Times New Roman" w:hAnsi="Times New Roman"/>
                <w:i w:val="false"/>
                <w:i w:val="false"/>
                <w:position w:val="0"/>
                <w:sz w:val="20"/>
                <w:sz w:val="20"/>
                <w:szCs w:val="20"/>
                <w:vertAlign w:val="baseline"/>
                <w:lang w:val="uk-UA"/>
              </w:rPr>
            </w:pPr>
            <w:r>
              <w:rPr>
                <w:i w:val="false"/>
                <w:position w:val="0"/>
                <w:sz w:val="20"/>
                <w:sz w:val="20"/>
                <w:szCs w:val="20"/>
                <w:vertAlign w:val="baseline"/>
                <w:lang w:val="uk-UA"/>
              </w:rPr>
              <w:t>РДСП</w:t>
            </w:r>
          </w:p>
        </w:tc>
        <w:tc>
          <w:tcPr>
            <w:tcW w:w="1442"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20/17-1</w:t>
            </w:r>
          </w:p>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20/17-2</w:t>
            </w:r>
          </w:p>
          <w:p>
            <w:pPr>
              <w:pStyle w:val="Style36"/>
              <w:widowControl w:val="false"/>
              <w:tabs>
                <w:tab w:val="clear" w:pos="720"/>
              </w:tabs>
              <w:spacing w:lineRule="auto" w:line="240" w:before="0" w:after="0"/>
              <w:ind w:left="0" w:right="0" w:hanging="0"/>
              <w:jc w:val="center"/>
              <w:rPr>
                <w:rFonts w:ascii="Times New Roman" w:hAnsi="Times New Roman"/>
                <w:i w:val="false"/>
                <w:i w:val="false"/>
                <w:sz w:val="22"/>
                <w:szCs w:val="22"/>
                <w:lang w:val="uk-UA"/>
              </w:rPr>
            </w:pPr>
            <w:r>
              <w:rPr>
                <w:i w:val="false"/>
                <w:sz w:val="22"/>
                <w:szCs w:val="22"/>
                <w:lang w:val="uk-UA"/>
              </w:rPr>
              <w:t>20-4</w:t>
            </w:r>
          </w:p>
        </w:tc>
        <w:tc>
          <w:tcPr>
            <w:tcW w:w="1828" w:type="dxa"/>
            <w:tcBorders>
              <w:left w:val="single" w:sz="8" w:space="0" w:color="000000"/>
              <w:bottom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vertAlign w:val="superscript"/>
                <w:lang w:val="uk-UA"/>
              </w:rPr>
              <w:t>137</w:t>
            </w:r>
            <w:r>
              <w:rPr>
                <w:i w:val="false"/>
                <w:color w:val="000000"/>
                <w:sz w:val="22"/>
                <w:szCs w:val="22"/>
                <w:lang w:val="uk-UA"/>
              </w:rPr>
              <w:t>Cs</w:t>
            </w:r>
          </w:p>
        </w:tc>
        <w:tc>
          <w:tcPr>
            <w:tcW w:w="1664" w:type="dxa"/>
            <w:tcBorders>
              <w:left w:val="single" w:sz="8" w:space="0" w:color="000000"/>
              <w:bottom w:val="single" w:sz="8" w:space="0" w:color="000000"/>
              <w:right w:val="single" w:sz="8" w:space="0" w:color="000000"/>
            </w:tcBorders>
            <w:vAlign w:val="center"/>
          </w:tcPr>
          <w:p>
            <w:pPr>
              <w:pStyle w:val="Style36"/>
              <w:widowControl w:val="false"/>
              <w:tabs>
                <w:tab w:val="clear" w:pos="720"/>
              </w:tabs>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7,0</w:t>
            </w:r>
          </w:p>
        </w:tc>
      </w:tr>
      <w:tr>
        <w:trPr/>
        <w:tc>
          <w:tcPr>
            <w:tcW w:w="395" w:type="dxa"/>
            <w:tcBorders>
              <w:left w:val="single" w:sz="8" w:space="0" w:color="000000"/>
              <w:bottom w:val="single" w:sz="8" w:space="0" w:color="000000"/>
            </w:tcBorders>
            <w:vAlign w:val="center"/>
          </w:tcPr>
          <w:p>
            <w:pPr>
              <w:pStyle w:val="Style36"/>
              <w:widowControl w:val="false"/>
              <w:numPr>
                <w:ilvl w:val="0"/>
                <w:numId w:val="0"/>
              </w:numPr>
              <w:spacing w:lineRule="auto" w:line="240" w:before="0" w:after="0"/>
              <w:ind w:left="0" w:right="0" w:hanging="0"/>
              <w:jc w:val="center"/>
              <w:rPr>
                <w:rFonts w:ascii="Times New Roman" w:hAnsi="Times New Roman"/>
                <w:i w:val="false"/>
                <w:i w:val="false"/>
                <w:color w:val="000000"/>
                <w:sz w:val="22"/>
                <w:szCs w:val="22"/>
                <w:lang w:val="uk-UA"/>
              </w:rPr>
            </w:pPr>
            <w:r>
              <w:rPr>
                <w:i w:val="false"/>
                <w:color w:val="000000"/>
                <w:sz w:val="22"/>
                <w:szCs w:val="22"/>
                <w:lang w:val="uk-UA"/>
              </w:rPr>
              <w:t>26</w:t>
            </w:r>
          </w:p>
        </w:tc>
        <w:tc>
          <w:tcPr>
            <w:tcW w:w="3233" w:type="dxa"/>
            <w:tcBorders>
              <w:left w:val="single" w:sz="8" w:space="0" w:color="000000"/>
              <w:bottom w:val="single" w:sz="8" w:space="0" w:color="000000"/>
            </w:tcBorders>
            <w:vAlign w:val="center"/>
          </w:tcPr>
          <w:p>
            <w:pPr>
              <w:pStyle w:val="Standard"/>
              <w:widowControl w:val="false"/>
              <w:bidi w:val="0"/>
              <w:jc w:val="left"/>
              <w:rPr>
                <w:sz w:val="20"/>
                <w:szCs w:val="20"/>
                <w:lang w:val="uk-UA"/>
              </w:rPr>
            </w:pPr>
            <w:r>
              <w:rPr>
                <w:sz w:val="20"/>
                <w:szCs w:val="20"/>
                <w:lang w:val="uk-UA"/>
              </w:rPr>
              <w:t>Дозиметр універсальний</w:t>
            </w:r>
          </w:p>
          <w:p>
            <w:pPr>
              <w:pStyle w:val="Standard"/>
              <w:widowControl w:val="false"/>
              <w:bidi w:val="0"/>
              <w:jc w:val="left"/>
              <w:rPr>
                <w:sz w:val="20"/>
                <w:szCs w:val="20"/>
                <w:lang w:val="uk-UA"/>
              </w:rPr>
            </w:pPr>
            <w:r>
              <w:rPr>
                <w:sz w:val="20"/>
                <w:szCs w:val="20"/>
                <w:lang w:val="uk-UA"/>
              </w:rPr>
              <w:t>ДКС-АТ5350/1</w:t>
            </w:r>
          </w:p>
        </w:tc>
        <w:tc>
          <w:tcPr>
            <w:tcW w:w="1822" w:type="dxa"/>
            <w:tcBorders>
              <w:left w:val="single" w:sz="8" w:space="0" w:color="000000"/>
              <w:bottom w:val="single" w:sz="8" w:space="0" w:color="000000"/>
            </w:tcBorders>
            <w:vAlign w:val="center"/>
          </w:tcPr>
          <w:p>
            <w:pPr>
              <w:pStyle w:val="Standard"/>
              <w:widowControl w:val="false"/>
              <w:shd w:val="clear" w:fill="FFFFFF"/>
              <w:bidi w:val="0"/>
              <w:snapToGrid w:val="false"/>
              <w:jc w:val="center"/>
              <w:rPr>
                <w:color w:val="000000"/>
                <w:sz w:val="20"/>
                <w:szCs w:val="20"/>
                <w:lang w:val="uk-UA"/>
              </w:rPr>
            </w:pPr>
            <w:r>
              <w:rPr>
                <w:color w:val="000000"/>
                <w:sz w:val="20"/>
                <w:szCs w:val="20"/>
                <w:lang w:val="uk-UA"/>
              </w:rPr>
              <w:t>ДКС-АТ5350/1</w:t>
            </w:r>
          </w:p>
        </w:tc>
        <w:tc>
          <w:tcPr>
            <w:tcW w:w="1442" w:type="dxa"/>
            <w:tcBorders>
              <w:left w:val="single" w:sz="8" w:space="0" w:color="000000"/>
              <w:bottom w:val="single" w:sz="8" w:space="0" w:color="000000"/>
            </w:tcBorders>
            <w:vAlign w:val="center"/>
          </w:tcPr>
          <w:p>
            <w:pPr>
              <w:pStyle w:val="Normal"/>
              <w:widowControl w:val="false"/>
              <w:tabs>
                <w:tab w:val="clear" w:pos="720"/>
              </w:tabs>
              <w:spacing w:lineRule="auto" w:line="240" w:before="0" w:after="0"/>
              <w:ind w:left="0" w:right="0" w:hanging="0"/>
              <w:jc w:val="center"/>
              <w:rPr>
                <w:rFonts w:ascii="Times New Roman" w:hAnsi="Times New Roman"/>
                <w:i w:val="false"/>
                <w:i w:val="false"/>
                <w:color w:val="auto"/>
                <w:position w:val="0"/>
                <w:sz w:val="22"/>
                <w:sz w:val="22"/>
                <w:szCs w:val="22"/>
                <w:vertAlign w:val="baseline"/>
                <w:lang w:val="uk-UA"/>
              </w:rPr>
            </w:pPr>
            <w:r>
              <w:rPr>
                <w:i w:val="false"/>
                <w:color w:val="auto"/>
                <w:position w:val="0"/>
                <w:sz w:val="22"/>
                <w:sz w:val="22"/>
                <w:szCs w:val="22"/>
                <w:vertAlign w:val="baseline"/>
                <w:lang w:val="uk-UA"/>
              </w:rPr>
              <w:t>10543</w:t>
            </w:r>
          </w:p>
        </w:tc>
        <w:tc>
          <w:tcPr>
            <w:tcW w:w="1828" w:type="dxa"/>
            <w:tcBorders>
              <w:left w:val="single" w:sz="8" w:space="0" w:color="000000"/>
              <w:bottom w:val="single" w:sz="8" w:space="0" w:color="000000"/>
            </w:tcBorders>
            <w:vAlign w:val="center"/>
          </w:tcPr>
          <w:p>
            <w:pPr>
              <w:pStyle w:val="Standard"/>
              <w:widowControl w:val="false"/>
              <w:bidi w:val="0"/>
              <w:jc w:val="center"/>
              <w:rPr>
                <w:sz w:val="18"/>
                <w:szCs w:val="18"/>
                <w:lang w:val="uk-UA"/>
              </w:rPr>
            </w:pPr>
            <w:r>
              <w:rPr>
                <w:sz w:val="18"/>
                <w:szCs w:val="18"/>
                <w:lang w:val="uk-UA"/>
              </w:rPr>
              <w:t>Потужність керми у повітрі та керма у повітрі стандартних випромінень</w:t>
            </w:r>
          </w:p>
          <w:p>
            <w:pPr>
              <w:pStyle w:val="Standard"/>
              <w:widowControl w:val="false"/>
              <w:tabs>
                <w:tab w:val="clear" w:pos="720"/>
              </w:tabs>
              <w:bidi w:val="0"/>
              <w:spacing w:lineRule="auto" w:line="240" w:before="0" w:after="0"/>
              <w:ind w:left="0" w:right="0" w:hanging="0"/>
              <w:jc w:val="center"/>
              <w:rPr>
                <w:rFonts w:ascii="Times New Roman" w:hAnsi="Times New Roman"/>
                <w:i w:val="false"/>
                <w:i w:val="false"/>
                <w:color w:val="auto"/>
                <w:sz w:val="22"/>
                <w:szCs w:val="22"/>
                <w:lang w:val="uk-UA"/>
              </w:rPr>
            </w:pPr>
            <w:r>
              <w:rPr>
                <w:rFonts w:eastAsia="Times New Roman"/>
                <w:i w:val="false"/>
                <w:color w:val="auto"/>
                <w:sz w:val="20"/>
                <w:szCs w:val="22"/>
                <w:vertAlign w:val="superscript"/>
                <w:lang w:val="uk-UA"/>
              </w:rPr>
              <w:t>137</w:t>
            </w:r>
            <w:r>
              <w:rPr>
                <w:rFonts w:eastAsia="Times New Roman"/>
                <w:i w:val="false"/>
                <w:color w:val="auto"/>
                <w:sz w:val="20"/>
                <w:szCs w:val="22"/>
                <w:lang w:val="uk-UA"/>
              </w:rPr>
              <w:t xml:space="preserve">Cs та </w:t>
            </w:r>
            <w:r>
              <w:rPr>
                <w:rFonts w:eastAsia="Times New Roman"/>
                <w:i w:val="false"/>
                <w:color w:val="auto"/>
                <w:sz w:val="20"/>
                <w:szCs w:val="20"/>
                <w:vertAlign w:val="superscript"/>
                <w:lang w:val="uk-UA" w:bidi="ar-SA"/>
              </w:rPr>
              <w:t>60</w:t>
            </w:r>
            <w:r>
              <w:rPr>
                <w:rFonts w:eastAsia="Times New Roman"/>
                <w:i w:val="false"/>
                <w:color w:val="auto"/>
                <w:sz w:val="20"/>
                <w:szCs w:val="20"/>
                <w:lang w:val="uk-UA" w:bidi="ar-SA"/>
              </w:rPr>
              <w:t>Co</w:t>
            </w:r>
          </w:p>
        </w:tc>
        <w:tc>
          <w:tcPr>
            <w:tcW w:w="1664" w:type="dxa"/>
            <w:tcBorders>
              <w:left w:val="single" w:sz="8" w:space="0" w:color="000000"/>
              <w:bottom w:val="single" w:sz="8" w:space="0" w:color="000000"/>
              <w:right w:val="single" w:sz="8" w:space="0" w:color="000000"/>
            </w:tcBorders>
            <w:vAlign w:val="center"/>
          </w:tcPr>
          <w:p>
            <w:pPr>
              <w:pStyle w:val="Style36"/>
              <w:widowControl w:val="false"/>
              <w:jc w:val="center"/>
              <w:rPr>
                <w:sz w:val="22"/>
                <w:szCs w:val="22"/>
                <w:lang w:val="uk-UA"/>
              </w:rPr>
            </w:pPr>
            <w:r>
              <w:rPr>
                <w:sz w:val="22"/>
                <w:szCs w:val="22"/>
                <w:lang w:val="uk-UA"/>
              </w:rPr>
              <w:t>3,0</w:t>
            </w:r>
          </w:p>
        </w:tc>
      </w:tr>
    </w:tbl>
    <w:p>
      <w:pPr>
        <w:pStyle w:val="Normal"/>
        <w:suppressAutoHyphens w:val="true"/>
        <w:spacing w:lineRule="auto" w:line="240" w:before="0" w:after="0"/>
        <w:jc w:val="both"/>
        <w:rPr>
          <w:shd w:fill="auto" w:val="clear"/>
        </w:rPr>
      </w:pPr>
      <w:r>
        <w:rPr>
          <w:shd w:fill="auto" w:val="clear"/>
        </w:rPr>
      </w:r>
    </w:p>
    <w:p>
      <w:pPr>
        <w:pStyle w:val="Normal"/>
        <w:widowControl w:val="false"/>
        <w:numPr>
          <w:ilvl w:val="0"/>
          <w:numId w:val="1"/>
        </w:numPr>
        <w:shd w:val="clear" w:fill="FFFFFF"/>
        <w:tabs>
          <w:tab w:val="clear" w:pos="720"/>
          <w:tab w:val="left" w:pos="350" w:leader="none"/>
        </w:tabs>
        <w:bidi w:val="0"/>
        <w:snapToGrid w:val="false"/>
        <w:spacing w:lineRule="auto" w:line="276" w:before="0" w:after="0"/>
        <w:ind w:left="0" w:right="0" w:firstLine="227"/>
        <w:jc w:val="both"/>
        <w:textAlignment w:val="auto"/>
        <w:rPr>
          <w:rFonts w:ascii="Times New Roman" w:hAnsi="Times New Roman" w:eastAsia="Tahoma" w:cs="Times New Roman"/>
          <w:b w:val="false"/>
          <w:b w:val="false"/>
          <w:bCs w:val="false"/>
          <w:i w:val="false"/>
          <w:i w:val="false"/>
          <w:iCs w:val="false"/>
          <w:caps w:val="false"/>
          <w:smallCaps w:val="false"/>
          <w:color w:val="000000"/>
          <w:spacing w:val="-1"/>
          <w:kern w:val="0"/>
          <w:sz w:val="20"/>
          <w:szCs w:val="20"/>
          <w:shd w:fill="auto" w:val="clear"/>
          <w:lang w:val="uk-UA" w:eastAsia="ru-RU" w:bidi="ar-SA"/>
        </w:rPr>
      </w:pPr>
      <w:r>
        <w:rPr>
          <w:rFonts w:eastAsia="Tahoma" w:cs="Times New Roman"/>
          <w:b w:val="false"/>
          <w:bCs w:val="false"/>
          <w:i w:val="false"/>
          <w:iCs w:val="false"/>
          <w:caps w:val="false"/>
          <w:smallCaps w:val="false"/>
          <w:color w:val="000000"/>
          <w:spacing w:val="-1"/>
          <w:kern w:val="0"/>
          <w:sz w:val="20"/>
          <w:szCs w:val="20"/>
          <w:shd w:fill="auto" w:val="clear"/>
          <w:lang w:val="uk-UA" w:eastAsia="ru-RU" w:bidi="ar-SA"/>
        </w:rPr>
      </w:r>
    </w:p>
    <w:tbl>
      <w:tblPr>
        <w:tblW w:w="10024" w:type="dxa"/>
        <w:jc w:val="center"/>
        <w:tblInd w:w="0" w:type="dxa"/>
        <w:tblLayout w:type="fixed"/>
        <w:tblCellMar>
          <w:top w:w="0" w:type="dxa"/>
          <w:left w:w="108" w:type="dxa"/>
          <w:bottom w:w="0" w:type="dxa"/>
          <w:right w:w="108" w:type="dxa"/>
        </w:tblCellMar>
      </w:tblPr>
      <w:tblGrid>
        <w:gridCol w:w="3342"/>
        <w:gridCol w:w="3341"/>
        <w:gridCol w:w="3341"/>
      </w:tblGrid>
      <w:tr>
        <w:trPr/>
        <w:tc>
          <w:tcPr>
            <w:tcW w:w="3342" w:type="dxa"/>
            <w:tcBorders/>
          </w:tcPr>
          <w:p>
            <w:pPr>
              <w:pStyle w:val="Normal"/>
              <w:widowControl w:val="false"/>
              <w:spacing w:lineRule="auto" w:line="240" w:before="0" w:after="200"/>
              <w:ind w:left="-142" w:right="0" w:firstLine="501"/>
              <w:jc w:val="both"/>
              <w:rPr>
                <w:rFonts w:eastAsia="Times New Roman" w:cs="Times New Roman"/>
                <w:color w:val="000000"/>
                <w:sz w:val="24"/>
                <w:szCs w:val="24"/>
                <w:shd w:fill="auto" w:val="clear"/>
                <w:lang w:eastAsia="en-US"/>
              </w:rPr>
            </w:pPr>
            <w:r>
              <w:rPr>
                <w:rFonts w:eastAsia="Times New Roman" w:cs="Times New Roman"/>
                <w:color w:val="000000"/>
                <w:sz w:val="24"/>
                <w:szCs w:val="24"/>
                <w:shd w:fill="auto" w:val="clear"/>
                <w:lang w:eastAsia="en-US"/>
              </w:rPr>
              <w:t>_______________________</w:t>
            </w:r>
          </w:p>
        </w:tc>
        <w:tc>
          <w:tcPr>
            <w:tcW w:w="3341" w:type="dxa"/>
            <w:tcBorders/>
          </w:tcPr>
          <w:p>
            <w:pPr>
              <w:pStyle w:val="Normal"/>
              <w:widowControl w:val="false"/>
              <w:spacing w:lineRule="auto" w:line="240" w:before="0" w:after="200"/>
              <w:ind w:left="-142" w:right="0" w:firstLine="501"/>
              <w:jc w:val="both"/>
              <w:rPr>
                <w:rFonts w:eastAsia="Times New Roman" w:cs="Times New Roman"/>
                <w:color w:val="000000"/>
                <w:sz w:val="24"/>
                <w:szCs w:val="24"/>
                <w:shd w:fill="auto" w:val="clear"/>
                <w:lang w:eastAsia="en-US"/>
              </w:rPr>
            </w:pPr>
            <w:r>
              <w:rPr>
                <w:rFonts w:eastAsia="Times New Roman" w:cs="Times New Roman"/>
                <w:color w:val="000000"/>
                <w:sz w:val="24"/>
                <w:szCs w:val="24"/>
                <w:shd w:fill="auto" w:val="clear"/>
                <w:lang w:eastAsia="en-US"/>
              </w:rPr>
              <w:t>________________________</w:t>
            </w:r>
          </w:p>
        </w:tc>
        <w:tc>
          <w:tcPr>
            <w:tcW w:w="3341" w:type="dxa"/>
            <w:tcBorders/>
          </w:tcPr>
          <w:p>
            <w:pPr>
              <w:pStyle w:val="Normal"/>
              <w:widowControl w:val="false"/>
              <w:spacing w:lineRule="auto" w:line="240" w:before="0" w:after="200"/>
              <w:ind w:left="-142" w:right="0" w:firstLine="501"/>
              <w:jc w:val="both"/>
              <w:rPr>
                <w:rFonts w:eastAsia="Times New Roman" w:cs="Times New Roman"/>
                <w:color w:val="000000"/>
                <w:sz w:val="24"/>
                <w:szCs w:val="24"/>
                <w:shd w:fill="auto" w:val="clear"/>
                <w:lang w:eastAsia="en-US"/>
              </w:rPr>
            </w:pPr>
            <w:r>
              <w:rPr>
                <w:rFonts w:eastAsia="Times New Roman" w:cs="Times New Roman"/>
                <w:color w:val="000000"/>
                <w:sz w:val="24"/>
                <w:szCs w:val="24"/>
                <w:shd w:fill="auto" w:val="clear"/>
                <w:lang w:eastAsia="en-US"/>
              </w:rPr>
              <w:t>_______________________</w:t>
            </w:r>
          </w:p>
        </w:tc>
      </w:tr>
      <w:tr>
        <w:trPr/>
        <w:tc>
          <w:tcPr>
            <w:tcW w:w="3342" w:type="dxa"/>
            <w:tcBorders/>
          </w:tcPr>
          <w:p>
            <w:pPr>
              <w:pStyle w:val="Normal"/>
              <w:widowControl w:val="false"/>
              <w:spacing w:lineRule="auto" w:line="240" w:before="0" w:after="200"/>
              <w:ind w:left="-142" w:right="0" w:firstLine="501"/>
              <w:jc w:val="both"/>
              <w:rPr>
                <w:rFonts w:eastAsia="Times New Roman" w:cs="Times New Roman"/>
                <w:i/>
                <w:i/>
                <w:color w:val="000000"/>
                <w:sz w:val="24"/>
                <w:szCs w:val="24"/>
                <w:shd w:fill="auto" w:val="clear"/>
                <w:lang w:eastAsia="en-US"/>
              </w:rPr>
            </w:pPr>
            <w:r>
              <w:rPr>
                <w:rFonts w:eastAsia="Times New Roman" w:cs="Times New Roman"/>
                <w:i/>
                <w:color w:val="000000"/>
                <w:sz w:val="24"/>
                <w:szCs w:val="24"/>
                <w:shd w:fill="auto" w:val="clear"/>
                <w:lang w:eastAsia="en-US"/>
              </w:rPr>
              <w:t>посада уповноваженої особи Учасника</w:t>
            </w:r>
          </w:p>
        </w:tc>
        <w:tc>
          <w:tcPr>
            <w:tcW w:w="3341" w:type="dxa"/>
            <w:tcBorders/>
          </w:tcPr>
          <w:p>
            <w:pPr>
              <w:pStyle w:val="Normal"/>
              <w:widowControl w:val="false"/>
              <w:spacing w:lineRule="auto" w:line="240" w:before="0" w:after="200"/>
              <w:ind w:left="-142" w:right="0" w:firstLine="501"/>
              <w:jc w:val="both"/>
              <w:rPr>
                <w:rFonts w:eastAsia="Times New Roman" w:cs="Times New Roman"/>
                <w:i/>
                <w:i/>
                <w:color w:val="000000"/>
                <w:sz w:val="24"/>
                <w:szCs w:val="24"/>
                <w:shd w:fill="auto" w:val="clear"/>
                <w:lang w:eastAsia="en-US"/>
              </w:rPr>
            </w:pPr>
            <w:r>
              <w:rPr>
                <w:rFonts w:eastAsia="Times New Roman" w:cs="Times New Roman"/>
                <w:i/>
                <w:color w:val="000000"/>
                <w:sz w:val="24"/>
                <w:szCs w:val="24"/>
                <w:shd w:fill="auto" w:val="clear"/>
                <w:lang w:eastAsia="en-US"/>
              </w:rPr>
              <w:t>підпис та печатка (за наявності)</w:t>
            </w:r>
          </w:p>
        </w:tc>
        <w:tc>
          <w:tcPr>
            <w:tcW w:w="3341" w:type="dxa"/>
            <w:tcBorders/>
          </w:tcPr>
          <w:p>
            <w:pPr>
              <w:pStyle w:val="Normal"/>
              <w:widowControl w:val="false"/>
              <w:spacing w:lineRule="auto" w:line="240" w:before="0" w:after="200"/>
              <w:ind w:left="-142" w:right="0" w:firstLine="501"/>
              <w:jc w:val="both"/>
              <w:rPr>
                <w:rFonts w:eastAsia="Times New Roman" w:cs="Times New Roman"/>
                <w:i/>
                <w:i/>
                <w:color w:val="000000"/>
                <w:sz w:val="24"/>
                <w:szCs w:val="24"/>
                <w:shd w:fill="auto" w:val="clear"/>
                <w:lang w:eastAsia="en-US"/>
              </w:rPr>
            </w:pPr>
            <w:r>
              <w:rPr>
                <w:rFonts w:eastAsia="Times New Roman" w:cs="Times New Roman"/>
                <w:i/>
                <w:color w:val="000000"/>
                <w:sz w:val="24"/>
                <w:szCs w:val="24"/>
                <w:shd w:fill="auto" w:val="clear"/>
                <w:lang w:eastAsia="en-US"/>
              </w:rPr>
              <w:t>прізвище, ініціали</w:t>
            </w:r>
          </w:p>
        </w:tc>
      </w:tr>
    </w:tbl>
    <w:p>
      <w:pPr>
        <w:pStyle w:val="Normal"/>
        <w:numPr>
          <w:ilvl w:val="0"/>
          <w:numId w:val="0"/>
        </w:numPr>
        <w:suppressAutoHyphens w:val="true"/>
        <w:spacing w:lineRule="auto" w:line="240" w:before="0" w:after="0"/>
        <w:ind w:left="0" w:right="0" w:firstLine="501"/>
        <w:jc w:val="both"/>
        <w:rPr>
          <w:rFonts w:cs="Times New Roman"/>
          <w:shd w:fill="auto" w:val="clear"/>
          <w:lang w:val="uk-UA" w:eastAsia="ar-SA"/>
        </w:rPr>
      </w:pPr>
      <w:r>
        <w:rPr>
          <w:rFonts w:cs="Times New Roman"/>
          <w:shd w:fill="auto" w:val="clear"/>
          <w:lang w:val="uk-UA" w:eastAsia="ar-SA"/>
        </w:rPr>
      </w:r>
    </w:p>
    <w:p>
      <w:pPr>
        <w:pStyle w:val="Normal"/>
        <w:numPr>
          <w:ilvl w:val="0"/>
          <w:numId w:val="0"/>
        </w:numPr>
        <w:tabs>
          <w:tab w:val="clear" w:pos="720"/>
          <w:tab w:val="left" w:pos="426" w:leader="none"/>
        </w:tabs>
        <w:suppressAutoHyphens w:val="true"/>
        <w:spacing w:lineRule="auto" w:line="240" w:before="0" w:after="0"/>
        <w:ind w:left="0" w:right="0" w:firstLine="501"/>
        <w:jc w:val="both"/>
        <w:rPr>
          <w:rFonts w:cs="Times New Roman"/>
          <w:b/>
          <w:b/>
          <w:shd w:fill="auto" w:val="clear"/>
          <w:lang w:val="uk-UA" w:eastAsia="ar-SA"/>
        </w:rPr>
      </w:pPr>
      <w:r>
        <w:rPr>
          <w:rFonts w:cs="Times New Roman"/>
          <w:b/>
          <w:shd w:fill="auto" w:val="clear"/>
          <w:lang w:val="uk-UA" w:eastAsia="ar-SA"/>
        </w:rPr>
        <w:t>Надання зазначених документів та підтверджень в Технічній частині є обов’язковим.</w:t>
      </w:r>
    </w:p>
    <w:p>
      <w:pPr>
        <w:pStyle w:val="Normal"/>
        <w:numPr>
          <w:ilvl w:val="0"/>
          <w:numId w:val="0"/>
        </w:numPr>
        <w:suppressAutoHyphens w:val="true"/>
        <w:spacing w:lineRule="auto" w:line="240" w:before="0" w:after="0"/>
        <w:ind w:left="7740" w:right="-25" w:hanging="0"/>
        <w:jc w:val="right"/>
        <w:rPr>
          <w:rFonts w:cs="Times New Roman"/>
          <w:shd w:fill="auto" w:val="clear"/>
          <w:lang w:val="uk-UA" w:eastAsia="ar-SA"/>
        </w:rPr>
      </w:pPr>
      <w:r>
        <w:rPr>
          <w:rFonts w:cs="Times New Roman"/>
          <w:shd w:fill="auto" w:val="clear"/>
          <w:lang w:val="uk-UA" w:eastAsia="ar-SA"/>
        </w:rPr>
      </w:r>
    </w:p>
    <w:p>
      <w:pPr>
        <w:pStyle w:val="Normal"/>
        <w:widowControl w:val="false"/>
        <w:numPr>
          <w:ilvl w:val="0"/>
          <w:numId w:val="0"/>
        </w:numPr>
        <w:suppressAutoHyphens w:val="true"/>
        <w:snapToGrid w:val="false"/>
        <w:spacing w:lineRule="auto" w:line="240" w:before="0" w:after="0"/>
        <w:ind w:left="7740" w:right="-25" w:hanging="0"/>
        <w:jc w:val="right"/>
        <w:rPr>
          <w:rFonts w:cs="Times New Roman"/>
          <w:shd w:fill="auto" w:val="clear"/>
          <w:lang w:val="uk-UA" w:eastAsia="ar-SA"/>
        </w:rPr>
      </w:pPr>
      <w:r>
        <w:rPr>
          <w:rFonts w:cs="Times New Roman"/>
          <w:shd w:fill="auto" w:val="clear"/>
          <w:lang w:val="uk-UA" w:eastAsia="ar-S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cs="Times New Roman"/>
          <w:b/>
          <w:b/>
          <w:bCs/>
          <w:color w:val="000000"/>
          <w:sz w:val="23"/>
          <w:szCs w:val="24"/>
          <w:shd w:fill="auto" w:val="clear"/>
          <w:lang w:val="uk-UA" w:eastAsia="uk-UA"/>
        </w:rPr>
      </w:pPr>
      <w:r>
        <w:rPr>
          <w:rFonts w:eastAsia="Tahoma" w:cs="Times New Roman"/>
          <w:b/>
          <w:bCs/>
          <w:color w:val="000000"/>
          <w:sz w:val="23"/>
          <w:szCs w:val="24"/>
          <w:shd w:fill="auto" w:val="clear"/>
          <w:lang w:val="uk-UA" w:eastAsia="uk-UA"/>
        </w:rPr>
      </w:r>
    </w:p>
    <w:p>
      <w:pPr>
        <w:pStyle w:val="Normal"/>
        <w:widowControl w:val="false"/>
        <w:spacing w:lineRule="auto" w:line="240"/>
        <w:ind w:left="7740" w:right="-25" w:hanging="0"/>
        <w:jc w:val="right"/>
        <w:rPr>
          <w:rFonts w:eastAsia="Tahoma"/>
          <w:b/>
          <w:b/>
          <w:bCs/>
          <w:color w:val="000000"/>
          <w:sz w:val="23"/>
          <w:szCs w:val="24"/>
          <w:shd w:fill="auto" w:val="clear"/>
          <w:lang w:val="uk-UA" w:eastAsia="uk-UA"/>
        </w:rPr>
      </w:pPr>
      <w:r>
        <w:rPr>
          <w:rFonts w:eastAsia="Tahoma"/>
          <w:b/>
          <w:bCs/>
          <w:color w:val="000000"/>
          <w:sz w:val="23"/>
          <w:szCs w:val="24"/>
          <w:shd w:fill="auto" w:val="clear"/>
          <w:lang w:val="uk-UA" w:eastAsia="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tabs>
          <w:tab w:val="clear" w:pos="720"/>
          <w:tab w:val="left" w:pos="9639" w:leader="none"/>
        </w:tabs>
        <w:ind w:firstLine="5812"/>
        <w:jc w:val="right"/>
        <w:rPr>
          <w:rFonts w:eastAsia="Calibri"/>
          <w:b/>
          <w:b/>
          <w:color w:val="000000"/>
          <w:sz w:val="24"/>
          <w:szCs w:val="24"/>
          <w:u w:val="single"/>
          <w:lang w:val="uk-UA"/>
        </w:rPr>
      </w:pPr>
      <w:r>
        <w:rPr>
          <w:rFonts w:eastAsia="Calibri"/>
          <w:b/>
          <w:color w:val="000000"/>
          <w:sz w:val="24"/>
          <w:szCs w:val="24"/>
          <w:u w:val="single"/>
          <w:lang w:val="uk-UA"/>
        </w:rPr>
      </w:r>
    </w:p>
    <w:p>
      <w:pPr>
        <w:pStyle w:val="Normal"/>
        <w:jc w:val="right"/>
        <w:rPr>
          <w:rFonts w:cs="Times New Roman"/>
          <w:color w:val="000000"/>
          <w:sz w:val="24"/>
          <w:szCs w:val="24"/>
          <w:shd w:fill="auto" w:val="clear"/>
          <w:lang w:val="uk-UA"/>
        </w:rPr>
      </w:pPr>
      <w:r>
        <w:rPr>
          <w:rFonts w:cs="Times New Roman"/>
          <w:color w:val="000000"/>
          <w:sz w:val="24"/>
          <w:szCs w:val="24"/>
          <w:shd w:fill="auto" w:val="clear"/>
          <w:lang w:val="uk-UA"/>
        </w:rPr>
        <w:t xml:space="preserve">ДОДАТОК 5 </w:t>
      </w:r>
    </w:p>
    <w:p>
      <w:pPr>
        <w:pStyle w:val="Normal"/>
        <w:jc w:val="right"/>
        <w:rPr>
          <w:rFonts w:cs="Times New Roman"/>
          <w:color w:val="000000"/>
          <w:sz w:val="24"/>
          <w:szCs w:val="24"/>
          <w:shd w:fill="auto" w:val="clear"/>
          <w:lang w:val="uk-UA"/>
        </w:rPr>
      </w:pPr>
      <w:r>
        <w:rPr>
          <w:rFonts w:cs="Times New Roman"/>
          <w:color w:val="000000"/>
          <w:sz w:val="24"/>
          <w:szCs w:val="24"/>
          <w:shd w:fill="auto" w:val="clear"/>
          <w:lang w:val="uk-UA"/>
        </w:rPr>
        <w:t>ДО ТЕНДЕРНОЇ ДОКУМЕНТАЦІЇ</w:t>
      </w:r>
    </w:p>
    <w:p>
      <w:pPr>
        <w:pStyle w:val="Normal"/>
        <w:jc w:val="center"/>
        <w:rPr>
          <w:sz w:val="24"/>
          <w:szCs w:val="24"/>
          <w:shd w:fill="auto" w:val="clear"/>
        </w:rPr>
      </w:pPr>
      <w:r>
        <w:rPr>
          <w:sz w:val="24"/>
          <w:szCs w:val="24"/>
          <w:shd w:fill="auto" w:val="clear"/>
        </w:rPr>
      </w:r>
    </w:p>
    <w:p>
      <w:pPr>
        <w:pStyle w:val="Normal"/>
        <w:jc w:val="center"/>
        <w:rPr>
          <w:sz w:val="24"/>
          <w:szCs w:val="24"/>
          <w:shd w:fill="auto" w:val="clear"/>
        </w:rPr>
      </w:pPr>
      <w:r>
        <w:rPr>
          <w:sz w:val="24"/>
          <w:szCs w:val="24"/>
          <w:shd w:fill="auto" w:val="clear"/>
        </w:rPr>
      </w:r>
    </w:p>
    <w:p>
      <w:pPr>
        <w:pStyle w:val="Normal"/>
        <w:jc w:val="center"/>
        <w:rPr>
          <w:sz w:val="24"/>
          <w:szCs w:val="24"/>
          <w:shd w:fill="auto" w:val="clear"/>
        </w:rPr>
      </w:pPr>
      <w:r>
        <w:rPr>
          <w:sz w:val="24"/>
          <w:szCs w:val="24"/>
          <w:shd w:fill="auto" w:val="clear"/>
        </w:rPr>
      </w:r>
    </w:p>
    <w:p>
      <w:pPr>
        <w:pStyle w:val="Normal"/>
        <w:jc w:val="center"/>
        <w:rPr>
          <w:sz w:val="24"/>
          <w:szCs w:val="24"/>
          <w:shd w:fill="auto" w:val="clear"/>
        </w:rPr>
      </w:pPr>
      <w:r>
        <w:rPr>
          <w:sz w:val="24"/>
          <w:szCs w:val="24"/>
          <w:shd w:fill="auto" w:val="clear"/>
        </w:rPr>
      </w:r>
    </w:p>
    <w:p>
      <w:pPr>
        <w:pStyle w:val="Normal"/>
        <w:jc w:val="center"/>
        <w:rPr/>
      </w:pPr>
      <w:r>
        <w:rPr>
          <w:rFonts w:eastAsia="Times New Roman" w:cs="Times New Roman"/>
          <w:b/>
          <w:color w:val="000000"/>
          <w:sz w:val="24"/>
          <w:szCs w:val="24"/>
          <w:shd w:fill="auto" w:val="clear"/>
          <w:lang w:val="uk-UA"/>
        </w:rPr>
        <w:t xml:space="preserve"> </w:t>
      </w:r>
      <w:r>
        <w:rPr>
          <w:rFonts w:cs="Times New Roman"/>
          <w:b/>
          <w:color w:val="000000"/>
          <w:sz w:val="24"/>
          <w:szCs w:val="24"/>
          <w:shd w:fill="auto" w:val="clear"/>
          <w:lang w:val="uk-UA"/>
        </w:rPr>
        <w:t>Згода на використання персональних даних</w:t>
      </w:r>
    </w:p>
    <w:p>
      <w:pPr>
        <w:pStyle w:val="Normal"/>
        <w:tabs>
          <w:tab w:val="clear" w:pos="720"/>
          <w:tab w:val="left" w:pos="0" w:leader="none"/>
        </w:tabs>
        <w:ind w:left="0" w:right="0" w:firstLine="567"/>
        <w:rPr>
          <w:rFonts w:cs="Times New Roman"/>
          <w:color w:val="000000"/>
          <w:sz w:val="24"/>
          <w:szCs w:val="24"/>
          <w:shd w:fill="auto" w:val="clear"/>
          <w:lang w:val="uk-UA"/>
        </w:rPr>
      </w:pPr>
      <w:r>
        <w:rPr>
          <w:rFonts w:cs="Times New Roman"/>
          <w:color w:val="000000"/>
          <w:sz w:val="24"/>
          <w:szCs w:val="24"/>
          <w:shd w:fill="auto" w:val="clear"/>
          <w:lang w:val="uk-UA"/>
        </w:rPr>
        <w:t>Я ____________________________________________________________</w:t>
      </w:r>
    </w:p>
    <w:p>
      <w:pPr>
        <w:pStyle w:val="Normal"/>
        <w:tabs>
          <w:tab w:val="clear" w:pos="720"/>
          <w:tab w:val="left" w:pos="0" w:leader="none"/>
        </w:tabs>
        <w:ind w:left="0" w:right="0" w:firstLine="567"/>
        <w:jc w:val="center"/>
        <w:rPr>
          <w:rFonts w:cs="Times New Roman"/>
          <w:color w:val="000000"/>
          <w:sz w:val="24"/>
          <w:szCs w:val="24"/>
          <w:shd w:fill="auto" w:val="clear"/>
          <w:lang w:val="uk-UA"/>
        </w:rPr>
      </w:pPr>
      <w:r>
        <w:rPr>
          <w:rFonts w:cs="Times New Roman"/>
          <w:color w:val="000000"/>
          <w:sz w:val="24"/>
          <w:szCs w:val="24"/>
          <w:shd w:fill="auto" w:val="clear"/>
          <w:lang w:val="uk-UA"/>
        </w:rPr>
        <w:t>(П.І.Б. учасника-ФОП, посадової особи учасника – юридичної особи)</w:t>
      </w:r>
    </w:p>
    <w:p>
      <w:pPr>
        <w:pStyle w:val="Normal"/>
        <w:tabs>
          <w:tab w:val="clear" w:pos="720"/>
          <w:tab w:val="left" w:pos="0" w:leader="none"/>
        </w:tabs>
        <w:jc w:val="both"/>
        <w:rPr>
          <w:rFonts w:cs="Times New Roman"/>
          <w:color w:val="000000"/>
          <w:sz w:val="24"/>
          <w:szCs w:val="24"/>
          <w:shd w:fill="auto" w:val="clear"/>
          <w:lang w:val="uk-UA"/>
        </w:rPr>
      </w:pPr>
      <w:r>
        <w:rPr>
          <w:rFonts w:cs="Times New Roman"/>
          <w:color w:val="000000"/>
          <w:sz w:val="24"/>
          <w:szCs w:val="24"/>
          <w:shd w:fill="auto" w:val="clear"/>
          <w:lang w:val="uk-UA"/>
        </w:rPr>
        <w:t>паспорт серія____ _________, виданий 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pPr>
        <w:pStyle w:val="Normal"/>
        <w:tabs>
          <w:tab w:val="clear" w:pos="720"/>
          <w:tab w:val="left" w:pos="0" w:leader="none"/>
        </w:tabs>
        <w:ind w:left="0" w:right="0" w:firstLine="567"/>
        <w:jc w:val="both"/>
        <w:rPr>
          <w:rFonts w:cs="Times New Roman"/>
          <w:color w:val="000000"/>
          <w:sz w:val="24"/>
          <w:szCs w:val="24"/>
          <w:shd w:fill="auto" w:val="clear"/>
          <w:lang w:val="uk-UA"/>
        </w:rPr>
      </w:pPr>
      <w:r>
        <w:rPr>
          <w:rFonts w:cs="Times New Roman"/>
          <w:color w:val="000000"/>
          <w:sz w:val="24"/>
          <w:szCs w:val="24"/>
          <w:shd w:fill="auto" w:val="clear"/>
          <w:lang w:val="uk-UA"/>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pPr>
        <w:pStyle w:val="Normal"/>
        <w:ind w:left="0" w:right="0" w:firstLine="567"/>
        <w:jc w:val="both"/>
        <w:rPr/>
      </w:pPr>
      <w:r>
        <w:rPr>
          <w:rFonts w:cs="Times New Roman"/>
          <w:b/>
          <w:color w:val="000000"/>
          <w:sz w:val="24"/>
          <w:szCs w:val="24"/>
          <w:shd w:fill="auto" w:val="clear"/>
          <w:lang w:val="uk-UA"/>
        </w:rPr>
        <w:t>Уповноважена особа Учасника</w:t>
      </w:r>
      <w:r>
        <w:rPr>
          <w:rFonts w:cs="Times New Roman"/>
          <w:color w:val="000000"/>
          <w:sz w:val="24"/>
          <w:szCs w:val="24"/>
          <w:shd w:fill="auto" w:val="clear"/>
          <w:lang w:val="uk-UA"/>
        </w:rPr>
        <w:t xml:space="preserve">      _____________   (________________)</w:t>
      </w:r>
    </w:p>
    <w:p>
      <w:pPr>
        <w:pStyle w:val="Normal"/>
        <w:ind w:left="0" w:right="0" w:firstLine="567"/>
        <w:jc w:val="both"/>
        <w:rPr/>
      </w:pPr>
      <w:r>
        <w:rPr>
          <w:rFonts w:eastAsia="Times New Roman" w:cs="Times New Roman"/>
          <w:color w:val="000000"/>
          <w:sz w:val="24"/>
          <w:szCs w:val="24"/>
          <w:shd w:fill="auto" w:val="clear"/>
          <w:lang w:val="uk-UA"/>
        </w:rPr>
        <w:t xml:space="preserve">                                                                     </w:t>
      </w:r>
      <w:r>
        <w:rPr>
          <w:rFonts w:cs="Times New Roman"/>
          <w:color w:val="000000"/>
          <w:sz w:val="24"/>
          <w:szCs w:val="24"/>
          <w:shd w:fill="auto" w:val="clear"/>
          <w:lang w:val="uk-UA"/>
        </w:rPr>
        <w:t>(підпис)                    (П.І.Б.)</w:t>
      </w:r>
    </w:p>
    <w:p>
      <w:pPr>
        <w:pStyle w:val="Normal"/>
        <w:widowControl w:val="false"/>
        <w:tabs>
          <w:tab w:val="clear" w:pos="720"/>
          <w:tab w:val="left" w:pos="9639" w:leader="none"/>
        </w:tabs>
        <w:suppressAutoHyphens w:val="true"/>
        <w:snapToGrid w:val="false"/>
        <w:spacing w:lineRule="auto" w:line="240" w:before="0" w:after="0"/>
        <w:ind w:left="-7" w:right="9" w:hanging="0"/>
        <w:jc w:val="right"/>
        <w:rPr>
          <w:rFonts w:cs="Times New Roman"/>
          <w:color w:val="000000"/>
          <w:sz w:val="24"/>
          <w:szCs w:val="24"/>
          <w:shd w:fill="auto" w:val="clear"/>
          <w:lang w:val="uk-UA"/>
        </w:rPr>
      </w:pPr>
      <w:r>
        <w:rPr>
          <w:rFonts w:cs="Times New Roman"/>
          <w:color w:val="000000"/>
          <w:sz w:val="24"/>
          <w:szCs w:val="24"/>
          <w:shd w:fill="auto" w:val="clear"/>
          <w:lang w:val="uk-UA"/>
        </w:rPr>
        <w:t>Дата   ____________</w:t>
      </w:r>
    </w:p>
    <w:sectPr>
      <w:headerReference w:type="default" r:id="rId17"/>
      <w:type w:val="nextPage"/>
      <w:pgSz w:w="11906" w:h="16838"/>
      <w:pgMar w:left="975" w:right="556" w:header="0" w:top="9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swiss"/>
    <w:pitch w:val="variable"/>
  </w:font>
  <w:font w:name="Cambria">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before="20" w:after="20"/>
      <w:rPr/>
    </w:pPr>
    <w:r>
      <w:rPr/>
      <mc:AlternateContent>
        <mc:Choice Requires="wps">
          <w:drawing>
            <wp:anchor behindDoc="1" distT="0" distB="0" distL="0" distR="0" simplePos="0" locked="0" layoutInCell="0" allowOverlap="1" relativeHeight="31">
              <wp:simplePos x="0" y="0"/>
              <wp:positionH relativeFrom="margin">
                <wp:align>center</wp:align>
              </wp:positionH>
              <wp:positionV relativeFrom="paragraph">
                <wp:posOffset>635</wp:posOffset>
              </wp:positionV>
              <wp:extent cx="1590040" cy="22415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1589400" cy="223560"/>
                      </a:xfrm>
                      <a:prstGeom prst="rect">
                        <a:avLst/>
                      </a:prstGeom>
                      <a:noFill/>
                      <a:ln w="0">
                        <a:noFill/>
                      </a:ln>
                    </wps:spPr>
                    <wps:style>
                      <a:lnRef idx="0"/>
                      <a:fillRef idx="0"/>
                      <a:effectRef idx="0"/>
                      <a:fontRef idx="minor"/>
                    </wps:style>
                    <wps:txbx>
                      <w:txbxContent>
                        <w:p>
                          <w:pPr>
                            <w:pStyle w:val="Style27"/>
                            <w:spacing w:before="20" w:after="20"/>
                            <w:rPr>
                              <w:color w:val="333333"/>
                            </w:rPr>
                          </w:pPr>
                          <w:r>
                            <w:rPr>
                              <w:rStyle w:val="Pagenumber"/>
                              <w:color w:val="333333"/>
                            </w:rPr>
                            <w:fldChar w:fldCharType="begin"/>
                          </w:r>
                          <w:r>
                            <w:rPr>
                              <w:rStyle w:val="Pagenumber"/>
                              <w:color w:val="333333"/>
                            </w:rPr>
                            <w:instrText> PAGE </w:instrText>
                          </w:r>
                          <w:r>
                            <w:rPr>
                              <w:rStyle w:val="Pagenumber"/>
                              <w:color w:val="333333"/>
                            </w:rPr>
                            <w:fldChar w:fldCharType="separate"/>
                          </w:r>
                          <w:r>
                            <w:rPr>
                              <w:rStyle w:val="Pagenumber"/>
                              <w:color w:val="333333"/>
                            </w:rPr>
                            <w:t>31</w:t>
                          </w:r>
                          <w:r>
                            <w:rPr>
                              <w:rStyle w:val="Pagenumber"/>
                              <w:color w:val="333333"/>
                            </w:rPr>
                            <w:fldChar w:fldCharType="end"/>
                          </w:r>
                        </w:p>
                      </w:txbxContent>
                    </wps:txbx>
                    <wps:bodyPr lIns="0" rIns="0" tIns="0" bIns="0">
                      <a:noAutofit/>
                    </wps:bodyPr>
                  </wps:wsp>
                </a:graphicData>
              </a:graphic>
            </wp:anchor>
          </w:drawing>
        </mc:Choice>
        <mc:Fallback>
          <w:pict>
            <v:rect id="shape_0" ID="Изображение1" path="m0,0l-2147483645,0l-2147483645,-2147483646l0,-2147483646xe" stroked="f" style="position:absolute;margin-left:191.45pt;margin-top:0.05pt;width:125.1pt;height:17.55pt;mso-wrap-style:square;v-text-anchor:top;mso-position-horizontal:center;mso-position-horizontal-relative:margin">
              <v:fill o:detectmouseclick="t" on="false"/>
              <v:stroke color="#3465a4" joinstyle="round" endcap="flat"/>
              <v:textbox>
                <w:txbxContent>
                  <w:p>
                    <w:pPr>
                      <w:pStyle w:val="Style27"/>
                      <w:spacing w:before="20" w:after="20"/>
                      <w:rPr>
                        <w:color w:val="333333"/>
                      </w:rPr>
                    </w:pPr>
                    <w:r>
                      <w:rPr>
                        <w:rStyle w:val="Pagenumber"/>
                        <w:color w:val="333333"/>
                      </w:rPr>
                      <w:fldChar w:fldCharType="begin"/>
                    </w:r>
                    <w:r>
                      <w:rPr>
                        <w:rStyle w:val="Pagenumber"/>
                        <w:color w:val="333333"/>
                      </w:rPr>
                      <w:instrText> PAGE </w:instrText>
                    </w:r>
                    <w:r>
                      <w:rPr>
                        <w:rStyle w:val="Pagenumber"/>
                        <w:color w:val="333333"/>
                      </w:rPr>
                      <w:fldChar w:fldCharType="separate"/>
                    </w:r>
                    <w:r>
                      <w:rPr>
                        <w:rStyle w:val="Pagenumber"/>
                        <w:color w:val="333333"/>
                      </w:rPr>
                      <w:t>31</w:t>
                    </w:r>
                    <w:r>
                      <w:rPr>
                        <w:rStyle w:val="Pagenumber"/>
                        <w:color w:val="333333"/>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decimal"/>
      <w:lvlText w:val="%1."/>
      <w:lvlJc w:val="left"/>
      <w:pPr>
        <w:tabs>
          <w:tab w:val="num" w:pos="0"/>
        </w:tabs>
        <w:ind w:left="360" w:hanging="360"/>
      </w:pPr>
      <w:rPr>
        <w:sz w:val="22"/>
        <w:i w:val="false"/>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8"/>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728b"/>
    <w:pPr>
      <w:widowControl/>
      <w:suppressAutoHyphens w:val="true"/>
      <w:bidi w:val="0"/>
      <w:spacing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1">
    <w:name w:val="Heading 1"/>
    <w:basedOn w:val="15"/>
    <w:next w:val="15"/>
    <w:link w:val="11"/>
    <w:uiPriority w:val="99"/>
    <w:qFormat/>
    <w:rsid w:val="00f9030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rPr>
  </w:style>
  <w:style w:type="paragraph" w:styleId="2">
    <w:name w:val="Heading 2"/>
    <w:basedOn w:val="15"/>
    <w:next w:val="15"/>
    <w:link w:val="20"/>
    <w:uiPriority w:val="99"/>
    <w:unhideWhenUsed/>
    <w:qFormat/>
    <w:rsid w:val="00f9030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15"/>
    <w:next w:val="15"/>
    <w:uiPriority w:val="99"/>
    <w:unhideWhenUsed/>
    <w:qFormat/>
    <w:rsid w:val="00f9030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15"/>
    <w:next w:val="15"/>
    <w:link w:val="40"/>
    <w:uiPriority w:val="99"/>
    <w:unhideWhenUsed/>
    <w:qFormat/>
    <w:rsid w:val="00f9030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15"/>
    <w:next w:val="15"/>
    <w:link w:val="50"/>
    <w:uiPriority w:val="99"/>
    <w:unhideWhenUsed/>
    <w:qFormat/>
    <w:rsid w:val="00f9030e"/>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15"/>
    <w:next w:val="15"/>
    <w:link w:val="60"/>
    <w:uiPriority w:val="99"/>
    <w:qFormat/>
    <w:rsid w:val="002b4aea"/>
    <w:pPr>
      <w:keepNext w:val="true"/>
      <w:spacing w:before="60" w:after="0"/>
      <w:jc w:val="center"/>
      <w:outlineLvl w:val="5"/>
    </w:pPr>
    <w:rPr>
      <w:b/>
      <w:sz w:val="32"/>
    </w:rPr>
  </w:style>
  <w:style w:type="paragraph" w:styleId="7">
    <w:name w:val="Heading 7"/>
    <w:basedOn w:val="15"/>
    <w:next w:val="15"/>
    <w:link w:val="70"/>
    <w:uiPriority w:val="99"/>
    <w:qFormat/>
    <w:rsid w:val="002b4aea"/>
    <w:pPr>
      <w:spacing w:before="240" w:after="60"/>
      <w:outlineLvl w:val="6"/>
    </w:pPr>
    <w:rPr>
      <w:szCs w:val="24"/>
    </w:rPr>
  </w:style>
  <w:style w:type="paragraph" w:styleId="8">
    <w:name w:val="Heading 8"/>
    <w:basedOn w:val="15"/>
    <w:next w:val="15"/>
    <w:link w:val="80"/>
    <w:uiPriority w:val="99"/>
    <w:qFormat/>
    <w:rsid w:val="002b4aea"/>
    <w:pPr>
      <w:keepNext w:val="true"/>
      <w:outlineLvl w:val="7"/>
    </w:pPr>
    <w:rPr>
      <w:i/>
      <w:lang w:val="ru-RU"/>
    </w:rPr>
  </w:style>
  <w:style w:type="paragraph" w:styleId="9">
    <w:name w:val="Heading 9"/>
    <w:basedOn w:val="15"/>
    <w:next w:val="15"/>
    <w:link w:val="90"/>
    <w:uiPriority w:val="99"/>
    <w:qFormat/>
    <w:rsid w:val="002b4aea"/>
    <w:pPr>
      <w:keepNext w:val="true"/>
      <w:jc w:val="center"/>
      <w:outlineLvl w:val="8"/>
    </w:pPr>
    <w:rPr>
      <w:sz w:val="28"/>
      <w:lang w:val="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f9030e"/>
    <w:rPr>
      <w:rFonts w:ascii="Cambria" w:hAnsi="Cambria" w:eastAsia="" w:cs="" w:asciiTheme="majorHAnsi" w:cstheme="majorBidi" w:eastAsiaTheme="majorEastAsia" w:hAnsiTheme="majorHAnsi"/>
      <w:b/>
      <w:bCs/>
      <w:color w:val="365F91" w:themeColor="accent1" w:themeShade="bf"/>
      <w:spacing w:val="-20"/>
      <w:sz w:val="28"/>
      <w:szCs w:val="28"/>
      <w:lang w:val="uk-UA" w:eastAsia="ru-RU"/>
    </w:rPr>
  </w:style>
  <w:style w:type="character" w:styleId="21" w:customStyle="1">
    <w:name w:val="Заголовок 2 Знак"/>
    <w:basedOn w:val="DefaultParagraphFont"/>
    <w:link w:val="2"/>
    <w:uiPriority w:val="99"/>
    <w:qFormat/>
    <w:rsid w:val="00f9030e"/>
    <w:rPr>
      <w:rFonts w:ascii="Cambria" w:hAnsi="Cambria" w:eastAsia="" w:cs="" w:asciiTheme="majorHAnsi" w:cstheme="majorBidi" w:eastAsiaTheme="majorEastAsia" w:hAnsiTheme="majorHAnsi"/>
      <w:b/>
      <w:bCs/>
      <w:color w:val="4F81BD" w:themeColor="accent1"/>
      <w:spacing w:val="-20"/>
      <w:sz w:val="26"/>
      <w:szCs w:val="26"/>
      <w:lang w:val="uk-UA" w:eastAsia="ru-RU"/>
    </w:rPr>
  </w:style>
  <w:style w:type="character" w:styleId="31" w:customStyle="1">
    <w:name w:val="Основной текст с отступом 3 Знак"/>
    <w:basedOn w:val="DefaultParagraphFont"/>
    <w:link w:val="31"/>
    <w:uiPriority w:val="99"/>
    <w:qFormat/>
    <w:rsid w:val="00f9030e"/>
    <w:rPr>
      <w:rFonts w:ascii="Cambria" w:hAnsi="Cambria" w:eastAsia="" w:cs="" w:asciiTheme="majorHAnsi" w:cstheme="majorBidi" w:eastAsiaTheme="majorEastAsia" w:hAnsiTheme="majorHAnsi"/>
      <w:b/>
      <w:bCs/>
      <w:color w:val="4F81BD" w:themeColor="accent1"/>
      <w:spacing w:val="-20"/>
      <w:lang w:val="uk-UA" w:eastAsia="ru-RU"/>
    </w:rPr>
  </w:style>
  <w:style w:type="character" w:styleId="41" w:customStyle="1">
    <w:name w:val="Заголовок 4 Знак"/>
    <w:basedOn w:val="DefaultParagraphFont"/>
    <w:link w:val="4"/>
    <w:uiPriority w:val="99"/>
    <w:qFormat/>
    <w:rsid w:val="00f9030e"/>
    <w:rPr>
      <w:rFonts w:ascii="Cambria" w:hAnsi="Cambria" w:eastAsia="" w:cs="" w:asciiTheme="majorHAnsi" w:cstheme="majorBidi" w:eastAsiaTheme="majorEastAsia" w:hAnsiTheme="majorHAnsi"/>
      <w:b/>
      <w:bCs/>
      <w:i/>
      <w:iCs/>
      <w:color w:val="4F81BD" w:themeColor="accent1"/>
      <w:spacing w:val="-20"/>
      <w:lang w:val="uk-UA" w:eastAsia="ru-RU"/>
    </w:rPr>
  </w:style>
  <w:style w:type="character" w:styleId="51" w:customStyle="1">
    <w:name w:val="Заголовок 5 Знак"/>
    <w:basedOn w:val="DefaultParagraphFont"/>
    <w:link w:val="5"/>
    <w:uiPriority w:val="99"/>
    <w:qFormat/>
    <w:rsid w:val="00f9030e"/>
    <w:rPr>
      <w:rFonts w:ascii="Cambria" w:hAnsi="Cambria" w:eastAsia="" w:cs="" w:asciiTheme="majorHAnsi" w:cstheme="majorBidi" w:eastAsiaTheme="majorEastAsia" w:hAnsiTheme="majorHAnsi"/>
      <w:color w:val="243F60" w:themeColor="accent1" w:themeShade="7f"/>
      <w:spacing w:val="-20"/>
      <w:lang w:val="uk-UA" w:eastAsia="ru-RU"/>
    </w:rPr>
  </w:style>
  <w:style w:type="character" w:styleId="61" w:customStyle="1">
    <w:name w:val="Заголовок 6 Знак"/>
    <w:basedOn w:val="DefaultParagraphFont"/>
    <w:link w:val="6"/>
    <w:uiPriority w:val="99"/>
    <w:qFormat/>
    <w:rsid w:val="002b4aea"/>
    <w:rPr>
      <w:rFonts w:eastAsia="Times New Roman"/>
      <w:b/>
      <w:sz w:val="32"/>
      <w:szCs w:val="20"/>
      <w:lang w:val="uk-UA" w:eastAsia="ru-RU"/>
    </w:rPr>
  </w:style>
  <w:style w:type="character" w:styleId="71" w:customStyle="1">
    <w:name w:val="Заголовок 7 Знак"/>
    <w:basedOn w:val="DefaultParagraphFont"/>
    <w:link w:val="7"/>
    <w:uiPriority w:val="99"/>
    <w:qFormat/>
    <w:rsid w:val="002b4aea"/>
    <w:rPr>
      <w:rFonts w:eastAsia="Times New Roman"/>
      <w:sz w:val="24"/>
      <w:szCs w:val="24"/>
      <w:lang w:val="uk-UA" w:eastAsia="ru-RU"/>
    </w:rPr>
  </w:style>
  <w:style w:type="character" w:styleId="81" w:customStyle="1">
    <w:name w:val="Заголовок 8 Знак"/>
    <w:basedOn w:val="DefaultParagraphFont"/>
    <w:link w:val="8"/>
    <w:uiPriority w:val="99"/>
    <w:qFormat/>
    <w:rsid w:val="002b4aea"/>
    <w:rPr>
      <w:rFonts w:eastAsia="Times New Roman"/>
      <w:i/>
      <w:sz w:val="20"/>
      <w:szCs w:val="20"/>
      <w:lang w:eastAsia="ru-RU"/>
    </w:rPr>
  </w:style>
  <w:style w:type="character" w:styleId="91" w:customStyle="1">
    <w:name w:val="Заголовок 9 Знак"/>
    <w:basedOn w:val="DefaultParagraphFont"/>
    <w:link w:val="9"/>
    <w:uiPriority w:val="99"/>
    <w:qFormat/>
    <w:rsid w:val="002b4aea"/>
    <w:rPr>
      <w:rFonts w:eastAsia="Times New Roman"/>
      <w:szCs w:val="20"/>
      <w:lang w:eastAsia="ru-RU"/>
    </w:rPr>
  </w:style>
  <w:style w:type="character" w:styleId="Style5" w:customStyle="1">
    <w:name w:val="Заголовок Знак"/>
    <w:basedOn w:val="DefaultParagraphFont"/>
    <w:uiPriority w:val="99"/>
    <w:qFormat/>
    <w:rsid w:val="002b4aea"/>
    <w:rPr>
      <w:rFonts w:ascii="Arial" w:hAnsi="Arial" w:eastAsia="Times New Roman"/>
      <w:b/>
      <w:sz w:val="18"/>
      <w:szCs w:val="20"/>
      <w:lang w:val="uk-UA" w:eastAsia="ru-RU"/>
    </w:rPr>
  </w:style>
  <w:style w:type="character" w:styleId="22" w:customStyle="1">
    <w:name w:val="Основной текст 2 Знак"/>
    <w:basedOn w:val="DefaultParagraphFont"/>
    <w:link w:val="21"/>
    <w:uiPriority w:val="99"/>
    <w:qFormat/>
    <w:rsid w:val="002b4aea"/>
    <w:rPr>
      <w:rFonts w:eastAsia="Times New Roman"/>
      <w:b/>
      <w:sz w:val="24"/>
      <w:szCs w:val="20"/>
      <w:lang w:val="uk-UA" w:eastAsia="ru-RU"/>
    </w:rPr>
  </w:style>
  <w:style w:type="character" w:styleId="Style6" w:customStyle="1">
    <w:name w:val="Подзаголовок Знак"/>
    <w:basedOn w:val="DefaultParagraphFont"/>
    <w:uiPriority w:val="99"/>
    <w:qFormat/>
    <w:rsid w:val="002b4aea"/>
    <w:rPr>
      <w:rFonts w:eastAsia="Times New Roman"/>
      <w:b/>
      <w:sz w:val="24"/>
      <w:szCs w:val="24"/>
      <w:lang w:val="en-GB"/>
    </w:rPr>
  </w:style>
  <w:style w:type="character" w:styleId="HTML" w:customStyle="1">
    <w:name w:val="Стандартный HTML Знак"/>
    <w:basedOn w:val="DefaultParagraphFont"/>
    <w:link w:val="HTML"/>
    <w:uiPriority w:val="99"/>
    <w:qFormat/>
    <w:rsid w:val="002b4aea"/>
    <w:rPr>
      <w:rFonts w:ascii="Courier New" w:hAnsi="Courier New" w:eastAsia="Times New Roman" w:cs="Courier New"/>
      <w:color w:val="000000"/>
      <w:sz w:val="18"/>
      <w:szCs w:val="18"/>
      <w:lang w:eastAsia="ru-RU"/>
    </w:rPr>
  </w:style>
  <w:style w:type="character" w:styleId="Style7">
    <w:name w:val="Интернет-ссылка"/>
    <w:basedOn w:val="DefaultParagraphFont"/>
    <w:unhideWhenUsed/>
    <w:rsid w:val="00dd3cbf"/>
    <w:rPr>
      <w:color w:val="0000FF" w:themeColor="hyperlink"/>
      <w:u w:val="single"/>
    </w:rPr>
  </w:style>
  <w:style w:type="character" w:styleId="Style8" w:customStyle="1">
    <w:name w:val="Верхний колонтитул Знак"/>
    <w:basedOn w:val="DefaultParagraphFont"/>
    <w:uiPriority w:val="99"/>
    <w:qFormat/>
    <w:rsid w:val="002b4aea"/>
    <w:rPr>
      <w:rFonts w:eastAsia="Times New Roman"/>
      <w:sz w:val="20"/>
      <w:szCs w:val="20"/>
      <w:lang w:val="uk-UA" w:eastAsia="ru-RU"/>
    </w:rPr>
  </w:style>
  <w:style w:type="character" w:styleId="Pagenumber">
    <w:name w:val="page number"/>
    <w:basedOn w:val="DefaultParagraphFont"/>
    <w:uiPriority w:val="99"/>
    <w:qFormat/>
    <w:rsid w:val="002b4aea"/>
    <w:rPr>
      <w:rFonts w:cs="Times New Roman"/>
    </w:rPr>
  </w:style>
  <w:style w:type="character" w:styleId="Style9" w:customStyle="1">
    <w:name w:val="Нижний колонтитул Знак"/>
    <w:basedOn w:val="DefaultParagraphFont"/>
    <w:uiPriority w:val="99"/>
    <w:qFormat/>
    <w:rsid w:val="002b4aea"/>
    <w:rPr>
      <w:rFonts w:eastAsia="Times New Roman"/>
      <w:sz w:val="20"/>
      <w:szCs w:val="20"/>
      <w:lang w:val="uk-UA" w:eastAsia="ru-RU"/>
    </w:rPr>
  </w:style>
  <w:style w:type="character" w:styleId="Style10" w:customStyle="1">
    <w:name w:val="Основной текст Знак"/>
    <w:basedOn w:val="DefaultParagraphFont"/>
    <w:uiPriority w:val="99"/>
    <w:qFormat/>
    <w:rsid w:val="002b4aea"/>
    <w:rPr>
      <w:rFonts w:eastAsia="Times New Roman"/>
      <w:sz w:val="20"/>
      <w:szCs w:val="20"/>
      <w:lang w:val="uk-UA" w:eastAsia="ru-RU"/>
    </w:rPr>
  </w:style>
  <w:style w:type="character" w:styleId="23" w:customStyle="1">
    <w:name w:val="Основной текст с отступом 2 Знак"/>
    <w:basedOn w:val="DefaultParagraphFont"/>
    <w:link w:val="23"/>
    <w:uiPriority w:val="99"/>
    <w:qFormat/>
    <w:rsid w:val="002b4aea"/>
    <w:rPr>
      <w:rFonts w:eastAsia="Times New Roman"/>
      <w:sz w:val="20"/>
      <w:szCs w:val="20"/>
      <w:lang w:val="uk-UA" w:eastAsia="ru-RU"/>
    </w:rPr>
  </w:style>
  <w:style w:type="character" w:styleId="32" w:customStyle="1">
    <w:name w:val="Основний текст з відступом 3 Знак"/>
    <w:basedOn w:val="DefaultParagraphFont"/>
    <w:link w:val="32"/>
    <w:uiPriority w:val="99"/>
    <w:qFormat/>
    <w:rsid w:val="002b4aea"/>
    <w:rPr>
      <w:rFonts w:eastAsia="Times New Roman"/>
      <w:sz w:val="16"/>
      <w:szCs w:val="16"/>
      <w:lang w:val="uk-UA" w:eastAsia="ru-RU"/>
    </w:rPr>
  </w:style>
  <w:style w:type="character" w:styleId="Style11" w:customStyle="1">
    <w:name w:val="Текст выноски Знак"/>
    <w:basedOn w:val="DefaultParagraphFont"/>
    <w:uiPriority w:val="99"/>
    <w:semiHidden/>
    <w:qFormat/>
    <w:rsid w:val="002b4aea"/>
    <w:rPr>
      <w:rFonts w:ascii="Tahoma" w:hAnsi="Tahoma" w:eastAsia="Times New Roman" w:cs="Tahoma"/>
      <w:sz w:val="16"/>
      <w:szCs w:val="16"/>
      <w:lang w:val="uk-UA" w:eastAsia="ru-RU"/>
    </w:rPr>
  </w:style>
  <w:style w:type="character" w:styleId="Rvts0" w:customStyle="1">
    <w:name w:val="rvts0"/>
    <w:qFormat/>
    <w:rsid w:val="002b4aea"/>
    <w:rPr/>
  </w:style>
  <w:style w:type="character" w:styleId="Style12" w:customStyle="1">
    <w:name w:val="Основной текст с отступом Знак"/>
    <w:basedOn w:val="DefaultParagraphFont"/>
    <w:uiPriority w:val="99"/>
    <w:qFormat/>
    <w:rsid w:val="002b4aea"/>
    <w:rPr>
      <w:rFonts w:eastAsia="Times New Roman"/>
      <w:sz w:val="24"/>
      <w:szCs w:val="20"/>
      <w:lang w:eastAsia="ru-RU"/>
    </w:rPr>
  </w:style>
  <w:style w:type="character" w:styleId="33" w:customStyle="1">
    <w:name w:val="Основной текст 3 Знак"/>
    <w:basedOn w:val="DefaultParagraphFont"/>
    <w:link w:val="33"/>
    <w:uiPriority w:val="99"/>
    <w:qFormat/>
    <w:rsid w:val="002b4aea"/>
    <w:rPr>
      <w:rFonts w:eastAsia="Times New Roman"/>
      <w:sz w:val="24"/>
      <w:szCs w:val="20"/>
      <w:u w:val="single"/>
      <w:lang w:eastAsia="ru-RU"/>
    </w:rPr>
  </w:style>
  <w:style w:type="character" w:styleId="Style13" w:customStyle="1">
    <w:name w:val="Схема документа Знак"/>
    <w:basedOn w:val="DefaultParagraphFont"/>
    <w:uiPriority w:val="99"/>
    <w:qFormat/>
    <w:rsid w:val="002b4aea"/>
    <w:rPr>
      <w:rFonts w:ascii="Tahoma" w:hAnsi="Tahoma" w:eastAsia="Times New Roman" w:cs="Tahoma"/>
      <w:sz w:val="20"/>
      <w:szCs w:val="20"/>
      <w:shd w:fill="000080" w:val="clear"/>
      <w:lang w:eastAsia="ru-RU"/>
    </w:rPr>
  </w:style>
  <w:style w:type="character" w:styleId="Style14" w:customStyle="1">
    <w:name w:val="Основний текст_"/>
    <w:link w:val="10"/>
    <w:uiPriority w:val="99"/>
    <w:qFormat/>
    <w:locked/>
    <w:rsid w:val="002b4aea"/>
    <w:rPr>
      <w:spacing w:val="10"/>
      <w:sz w:val="31"/>
      <w:shd w:fill="FFFFFF" w:val="clear"/>
    </w:rPr>
  </w:style>
  <w:style w:type="character" w:styleId="Style15" w:customStyle="1">
    <w:name w:val="Текст сноски Знак"/>
    <w:basedOn w:val="DefaultParagraphFont"/>
    <w:uiPriority w:val="99"/>
    <w:qFormat/>
    <w:rsid w:val="002b4aea"/>
    <w:rPr>
      <w:rFonts w:eastAsia="Times New Roman"/>
      <w:sz w:val="20"/>
      <w:szCs w:val="20"/>
      <w:lang w:val="uk-UA" w:eastAsia="uk-UA"/>
    </w:rPr>
  </w:style>
  <w:style w:type="character" w:styleId="Style16" w:customStyle="1">
    <w:name w:val="Текст Знак"/>
    <w:basedOn w:val="DefaultParagraphFont"/>
    <w:uiPriority w:val="99"/>
    <w:qFormat/>
    <w:rsid w:val="002b4aea"/>
    <w:rPr>
      <w:rFonts w:ascii="Calibri" w:hAnsi="Calibri" w:eastAsia="Times New Roman"/>
      <w:sz w:val="22"/>
      <w:szCs w:val="21"/>
    </w:rPr>
  </w:style>
  <w:style w:type="character" w:styleId="Strong">
    <w:name w:val="Strong"/>
    <w:basedOn w:val="DefaultParagraphFont"/>
    <w:qFormat/>
    <w:rsid w:val="002b4aea"/>
    <w:rPr>
      <w:rFonts w:cs="Times New Roman"/>
      <w:b/>
    </w:rPr>
  </w:style>
  <w:style w:type="character" w:styleId="12" w:customStyle="1">
    <w:name w:val="Выделение1"/>
    <w:basedOn w:val="DefaultParagraphFont"/>
    <w:uiPriority w:val="20"/>
    <w:qFormat/>
    <w:rsid w:val="002b4aea"/>
    <w:rPr>
      <w:rFonts w:cs="Times New Roman"/>
      <w:i/>
    </w:rPr>
  </w:style>
  <w:style w:type="character" w:styleId="Xfm65937140" w:customStyle="1">
    <w:name w:val="xfm_65937140"/>
    <w:basedOn w:val="DefaultParagraphFont"/>
    <w:uiPriority w:val="99"/>
    <w:qFormat/>
    <w:rsid w:val="002b4aea"/>
    <w:rPr>
      <w:rFonts w:cs="Times New Roman"/>
    </w:rPr>
  </w:style>
  <w:style w:type="character" w:styleId="Style17" w:customStyle="1">
    <w:name w:val="Обычный (Интернет) Знак"/>
    <w:basedOn w:val="DefaultParagraphFont"/>
    <w:qFormat/>
    <w:locked/>
    <w:rsid w:val="002b4aea"/>
    <w:rPr>
      <w:rFonts w:eastAsia="Times New Roman"/>
      <w:sz w:val="24"/>
      <w:szCs w:val="24"/>
      <w:lang w:eastAsia="ru-RU"/>
    </w:rPr>
  </w:style>
  <w:style w:type="character" w:styleId="St" w:customStyle="1">
    <w:name w:val="st"/>
    <w:basedOn w:val="DefaultParagraphFont"/>
    <w:qFormat/>
    <w:rsid w:val="002b4aea"/>
    <w:rPr/>
  </w:style>
  <w:style w:type="character" w:styleId="Rvts23" w:customStyle="1">
    <w:name w:val="rvts23"/>
    <w:basedOn w:val="DefaultParagraphFont"/>
    <w:qFormat/>
    <w:rsid w:val="002b4aea"/>
    <w:rPr/>
  </w:style>
  <w:style w:type="character" w:styleId="Rvts9" w:customStyle="1">
    <w:name w:val="rvts9"/>
    <w:basedOn w:val="DefaultParagraphFont"/>
    <w:qFormat/>
    <w:rsid w:val="00fe040e"/>
    <w:rPr/>
  </w:style>
  <w:style w:type="character" w:styleId="Bodytext8" w:customStyle="1">
    <w:name w:val="Body text (8)"/>
    <w:qFormat/>
    <w:rsid w:val="00a853d4"/>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uk-UA" w:eastAsia="uk-UA" w:bidi="uk-UA"/>
    </w:rPr>
  </w:style>
  <w:style w:type="character" w:styleId="Bodytext811ptNotBold" w:customStyle="1">
    <w:name w:val="Body text (8) + 11 pt;Not Bold"/>
    <w:qFormat/>
    <w:rsid w:val="00a853d4"/>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uk-UA" w:eastAsia="uk-UA" w:bidi="uk-UA"/>
    </w:rPr>
  </w:style>
  <w:style w:type="character" w:styleId="Heading2" w:customStyle="1">
    <w:name w:val="Heading #2"/>
    <w:qFormat/>
    <w:rsid w:val="00a853d4"/>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uk-UA" w:eastAsia="uk-UA" w:bidi="uk-UA"/>
    </w:rPr>
  </w:style>
  <w:style w:type="character" w:styleId="Bodytext2" w:customStyle="1">
    <w:name w:val="Body text (2)"/>
    <w:qFormat/>
    <w:rsid w:val="001e352e"/>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uk-UA" w:eastAsia="uk-UA" w:bidi="uk-UA"/>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WW8Num1z0" w:customStyle="1">
    <w:name w:val="WW8Num1z0"/>
    <w:qFormat/>
    <w:rsid w:val="00ed6aa4"/>
    <w:rPr>
      <w:b/>
    </w:rPr>
  </w:style>
  <w:style w:type="character" w:styleId="Style18" w:customStyle="1">
    <w:name w:val="Посещённая гиперссылка"/>
    <w:rPr>
      <w:color w:val="800000"/>
      <w:u w:val="single"/>
    </w:rPr>
  </w:style>
  <w:style w:type="character" w:styleId="WW8Num3z0" w:customStyle="1">
    <w:name w:val="WW8Num3z0"/>
    <w:qFormat/>
    <w:rPr>
      <w:rFonts w:ascii="Times New Roman" w:hAnsi="Times New Roman" w:cs="Times New Roman"/>
      <w:color w:val="000000"/>
      <w:sz w:val="28"/>
      <w:szCs w:val="28"/>
      <w:lang w:eastAsia="en-US"/>
    </w:rPr>
  </w:style>
  <w:style w:type="character" w:styleId="WW8Num2z0" w:customStyle="1">
    <w:name w:val="WW8Num2z0"/>
    <w:qFormat/>
    <w:rPr>
      <w:rFonts w:ascii="Times New Roman" w:hAnsi="Times New Roman" w:eastAsia="Times New Roman" w:cs="Times New Roman"/>
      <w:b/>
      <w:bCs/>
      <w:i w:val="false"/>
      <w:iCs w:val="false"/>
      <w:color w:val="000000"/>
      <w:kern w:val="2"/>
      <w:sz w:val="22"/>
      <w:szCs w:val="22"/>
      <w:lang w:val="uk-UA" w:eastAsia="uk-UA" w:bidi="ar-SA"/>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15"/>
    <w:uiPriority w:val="99"/>
    <w:rsid w:val="002b4aea"/>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3" w:customStyle="1">
    <w:name w:val="Заголовок1"/>
    <w:basedOn w:val="15"/>
    <w:next w:val="Style20"/>
    <w:qFormat/>
    <w:pPr>
      <w:keepNext w:val="true"/>
      <w:spacing w:before="240" w:after="120"/>
    </w:pPr>
    <w:rPr>
      <w:rFonts w:ascii="Liberation Sans" w:hAnsi="Liberation Sans" w:eastAsia="Microsoft YaHei" w:cs="Mangal"/>
      <w:sz w:val="28"/>
      <w:szCs w:val="28"/>
    </w:rPr>
  </w:style>
  <w:style w:type="paragraph" w:styleId="Caption">
    <w:name w:val="caption"/>
    <w:basedOn w:val="15"/>
    <w:qFormat/>
    <w:pPr>
      <w:suppressLineNumbers/>
      <w:spacing w:before="120" w:after="120"/>
    </w:pPr>
    <w:rPr>
      <w:rFonts w:cs="Mangal"/>
      <w:i/>
      <w:iCs/>
      <w:szCs w:val="24"/>
    </w:rPr>
  </w:style>
  <w:style w:type="paragraph" w:styleId="14" w:customStyle="1">
    <w:name w:val="Указатель1"/>
    <w:basedOn w:val="15"/>
    <w:qFormat/>
    <w:pPr>
      <w:suppressLineNumbers/>
    </w:pPr>
    <w:rPr>
      <w:rFonts w:cs="Mangal"/>
    </w:rPr>
  </w:style>
  <w:style w:type="paragraph" w:styleId="15" w:customStyle="1">
    <w:name w:val="Звичайний1"/>
    <w:link w:val="ac"/>
    <w:qFormat/>
    <w:rsid w:val="006302f3"/>
    <w:pPr>
      <w:widowControl/>
      <w:suppressAutoHyphens w:val="true"/>
      <w:bidi w:val="0"/>
      <w:spacing w:lineRule="auto" w:line="276" w:before="20" w:after="20"/>
      <w:ind w:firstLine="737"/>
      <w:jc w:val="both"/>
    </w:pPr>
    <w:rPr>
      <w:rFonts w:ascii="Calibri" w:hAnsi="Calibri" w:eastAsia="Times New Roman" w:cs="" w:asciiTheme="minorHAnsi" w:cstheme="minorBidi" w:hAnsiTheme="minorHAnsi"/>
      <w:color w:val="auto"/>
      <w:kern w:val="0"/>
      <w:sz w:val="24"/>
      <w:szCs w:val="20"/>
      <w:lang w:val="uk-UA" w:eastAsia="ru-RU" w:bidi="en-US"/>
    </w:rPr>
  </w:style>
  <w:style w:type="paragraph" w:styleId="NoSpacing">
    <w:name w:val="No Spacing"/>
    <w:uiPriority w:val="1"/>
    <w:qFormat/>
    <w:rsid w:val="00f9030e"/>
    <w:pPr>
      <w:widowControl/>
      <w:suppressAutoHyphens w:val="true"/>
      <w:bidi w:val="0"/>
      <w:spacing w:before="0" w:after="0"/>
      <w:jc w:val="left"/>
    </w:pPr>
    <w:rPr>
      <w:rFonts w:ascii="Times New Roman" w:hAnsi="Times New Roman" w:eastAsia="Times New Roman" w:cs="Times New Roman"/>
      <w:color w:val="800000"/>
      <w:spacing w:val="-20"/>
      <w:kern w:val="0"/>
      <w:sz w:val="28"/>
      <w:szCs w:val="28"/>
      <w:lang w:val="uk-UA" w:eastAsia="ru-RU" w:bidi="ar-SA"/>
    </w:rPr>
  </w:style>
  <w:style w:type="paragraph" w:styleId="Style24">
    <w:name w:val="Title"/>
    <w:basedOn w:val="15"/>
    <w:uiPriority w:val="99"/>
    <w:qFormat/>
    <w:rsid w:val="002b4aea"/>
    <w:pPr>
      <w:widowControl w:val="false"/>
      <w:ind w:left="320" w:hanging="0"/>
      <w:jc w:val="center"/>
    </w:pPr>
    <w:rPr>
      <w:rFonts w:ascii="Arial" w:hAnsi="Arial"/>
      <w:b/>
      <w:sz w:val="18"/>
    </w:rPr>
  </w:style>
  <w:style w:type="paragraph" w:styleId="BodyText21">
    <w:name w:val="Body Text 2"/>
    <w:basedOn w:val="15"/>
    <w:uiPriority w:val="99"/>
    <w:qFormat/>
    <w:rsid w:val="002b4aea"/>
    <w:pPr>
      <w:jc w:val="center"/>
    </w:pPr>
    <w:rPr>
      <w:b/>
    </w:rPr>
  </w:style>
  <w:style w:type="paragraph" w:styleId="Style25">
    <w:name w:val="Subtitle"/>
    <w:basedOn w:val="15"/>
    <w:uiPriority w:val="99"/>
    <w:qFormat/>
    <w:rsid w:val="002b4aea"/>
    <w:pPr>
      <w:spacing w:lineRule="auto" w:line="360"/>
      <w:jc w:val="center"/>
    </w:pPr>
    <w:rPr>
      <w:b/>
      <w:szCs w:val="24"/>
      <w:lang w:val="en-GB" w:eastAsia="en-US"/>
    </w:rPr>
  </w:style>
  <w:style w:type="paragraph" w:styleId="HTMLPreformatted">
    <w:name w:val="HTML Preformatted"/>
    <w:basedOn w:val="15"/>
    <w:uiPriority w:val="99"/>
    <w:qFormat/>
    <w:rsid w:val="002b4ae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18"/>
      <w:szCs w:val="18"/>
      <w:lang w:val="ru-RU"/>
    </w:rPr>
  </w:style>
  <w:style w:type="paragraph" w:styleId="Style26" w:customStyle="1">
    <w:name w:val="Верхний и нижний колонтитулы"/>
    <w:basedOn w:val="15"/>
    <w:qFormat/>
    <w:pPr/>
    <w:rPr/>
  </w:style>
  <w:style w:type="paragraph" w:styleId="Style27">
    <w:name w:val="Header"/>
    <w:basedOn w:val="15"/>
    <w:uiPriority w:val="99"/>
    <w:rsid w:val="002b4aea"/>
    <w:pPr>
      <w:tabs>
        <w:tab w:val="clear" w:pos="720"/>
        <w:tab w:val="center" w:pos="4819" w:leader="none"/>
        <w:tab w:val="right" w:pos="9639" w:leader="none"/>
      </w:tabs>
    </w:pPr>
    <w:rPr/>
  </w:style>
  <w:style w:type="paragraph" w:styleId="Style28">
    <w:name w:val="Footer"/>
    <w:basedOn w:val="15"/>
    <w:uiPriority w:val="99"/>
    <w:rsid w:val="002b4aea"/>
    <w:pPr>
      <w:tabs>
        <w:tab w:val="clear" w:pos="720"/>
        <w:tab w:val="center" w:pos="4819" w:leader="none"/>
        <w:tab w:val="right" w:pos="9639" w:leader="none"/>
      </w:tabs>
    </w:pPr>
    <w:rPr/>
  </w:style>
  <w:style w:type="paragraph" w:styleId="NormalWeb">
    <w:name w:val="Normal (Web)"/>
    <w:basedOn w:val="15"/>
    <w:qFormat/>
    <w:rsid w:val="002b4aea"/>
    <w:pPr>
      <w:spacing w:beforeAutospacing="1" w:afterAutospacing="1"/>
    </w:pPr>
    <w:rPr>
      <w:szCs w:val="24"/>
      <w:lang w:val="ru-RU"/>
    </w:rPr>
  </w:style>
  <w:style w:type="paragraph" w:styleId="BodyTextIndent2">
    <w:name w:val="Body Text Indent 2"/>
    <w:basedOn w:val="15"/>
    <w:uiPriority w:val="99"/>
    <w:qFormat/>
    <w:rsid w:val="002b4aea"/>
    <w:pPr>
      <w:spacing w:lineRule="auto" w:line="480" w:before="0" w:after="120"/>
      <w:ind w:left="283" w:hanging="0"/>
    </w:pPr>
    <w:rPr/>
  </w:style>
  <w:style w:type="paragraph" w:styleId="BodyTextIndent3">
    <w:name w:val="Body Text Indent 3"/>
    <w:basedOn w:val="15"/>
    <w:link w:val="30"/>
    <w:uiPriority w:val="99"/>
    <w:qFormat/>
    <w:rsid w:val="002b4aea"/>
    <w:pPr>
      <w:spacing w:before="0" w:after="120"/>
      <w:ind w:left="283" w:hanging="0"/>
    </w:pPr>
    <w:rPr>
      <w:sz w:val="16"/>
      <w:szCs w:val="16"/>
    </w:rPr>
  </w:style>
  <w:style w:type="paragraph" w:styleId="BalloonText">
    <w:name w:val="Balloon Text"/>
    <w:basedOn w:val="15"/>
    <w:uiPriority w:val="99"/>
    <w:semiHidden/>
    <w:qFormat/>
    <w:rsid w:val="002b4aea"/>
    <w:pPr/>
    <w:rPr>
      <w:rFonts w:ascii="Tahoma" w:hAnsi="Tahoma" w:cs="Tahoma"/>
      <w:sz w:val="16"/>
      <w:szCs w:val="16"/>
    </w:rPr>
  </w:style>
  <w:style w:type="paragraph" w:styleId="16" w:customStyle="1">
    <w:name w:val="Без интервала1"/>
    <w:qFormat/>
    <w:rsid w:val="002b4aea"/>
    <w:pPr>
      <w:widowControl/>
      <w:suppressAutoHyphens w:val="true"/>
      <w:bidi w:val="0"/>
      <w:spacing w:before="0" w:after="0"/>
      <w:jc w:val="left"/>
    </w:pPr>
    <w:rPr>
      <w:rFonts w:ascii="Calibri" w:hAnsi="Calibri" w:eastAsia="Times New Roman" w:cs="Times New Roman"/>
      <w:color w:val="auto"/>
      <w:kern w:val="0"/>
      <w:sz w:val="22"/>
      <w:szCs w:val="22"/>
      <w:lang w:val="uk-UA" w:eastAsia="en-US" w:bidi="ar-SA"/>
    </w:rPr>
  </w:style>
  <w:style w:type="paragraph" w:styleId="Rvps2" w:customStyle="1">
    <w:name w:val="rvps2"/>
    <w:basedOn w:val="15"/>
    <w:qFormat/>
    <w:rsid w:val="002b4aea"/>
    <w:pPr>
      <w:spacing w:beforeAutospacing="1" w:afterAutospacing="1"/>
    </w:pPr>
    <w:rPr>
      <w:szCs w:val="24"/>
      <w:lang w:eastAsia="uk-UA"/>
    </w:rPr>
  </w:style>
  <w:style w:type="paragraph" w:styleId="17" w:customStyle="1">
    <w:name w:val="Абзац списка1"/>
    <w:basedOn w:val="15"/>
    <w:uiPriority w:val="99"/>
    <w:qFormat/>
    <w:rsid w:val="002b4aea"/>
    <w:pPr>
      <w:ind w:left="720" w:hanging="0"/>
    </w:pPr>
    <w:rPr>
      <w:rFonts w:ascii="Calibri" w:hAnsi="Calibri"/>
      <w:sz w:val="22"/>
      <w:szCs w:val="22"/>
      <w:lang w:val="ru-RU" w:eastAsia="en-US"/>
    </w:rPr>
  </w:style>
  <w:style w:type="paragraph" w:styleId="LOnormal" w:customStyle="1">
    <w:name w:val="LO-normal"/>
    <w:qFormat/>
    <w:rsid w:val="002b4aea"/>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Style29">
    <w:name w:val="Body Text Indent"/>
    <w:basedOn w:val="15"/>
    <w:rsid w:val="002b4aea"/>
    <w:pPr>
      <w:ind w:left="720" w:firstLine="720"/>
    </w:pPr>
    <w:rPr>
      <w:lang w:val="ru-RU"/>
    </w:rPr>
  </w:style>
  <w:style w:type="paragraph" w:styleId="BodyText3">
    <w:name w:val="Body Text 3"/>
    <w:basedOn w:val="15"/>
    <w:uiPriority w:val="99"/>
    <w:qFormat/>
    <w:rsid w:val="002b4aea"/>
    <w:pPr>
      <w:jc w:val="center"/>
    </w:pPr>
    <w:rPr>
      <w:u w:val="single"/>
      <w:lang w:val="ru-RU"/>
    </w:rPr>
  </w:style>
  <w:style w:type="paragraph" w:styleId="DocumentMap">
    <w:name w:val="Document Map"/>
    <w:basedOn w:val="15"/>
    <w:uiPriority w:val="99"/>
    <w:qFormat/>
    <w:rsid w:val="002b4aea"/>
    <w:pPr>
      <w:shd w:val="clear" w:color="auto" w:fill="000080"/>
    </w:pPr>
    <w:rPr>
      <w:rFonts w:ascii="Tahoma" w:hAnsi="Tahoma" w:cs="Tahoma"/>
      <w:lang w:val="ru-RU"/>
    </w:rPr>
  </w:style>
  <w:style w:type="paragraph" w:styleId="18" w:customStyle="1">
    <w:name w:val="Основний текст1"/>
    <w:basedOn w:val="15"/>
    <w:uiPriority w:val="99"/>
    <w:qFormat/>
    <w:rsid w:val="002b4aea"/>
    <w:pPr>
      <w:shd w:val="clear" w:color="auto" w:fill="FFFFFF"/>
      <w:spacing w:lineRule="exact" w:line="405" w:before="0" w:after="180"/>
      <w:ind w:hanging="460"/>
      <w:jc w:val="center"/>
    </w:pPr>
    <w:rPr>
      <w:rFonts w:eastAsia="Calibri" w:eastAsiaTheme="minorHAnsi"/>
      <w:spacing w:val="10"/>
      <w:sz w:val="31"/>
      <w:szCs w:val="28"/>
      <w:shd w:fill="FFFFFF" w:val="clear"/>
      <w:lang w:val="ru-RU" w:eastAsia="en-US"/>
    </w:rPr>
  </w:style>
  <w:style w:type="paragraph" w:styleId="Style30">
    <w:name w:val="Footnote Text"/>
    <w:basedOn w:val="15"/>
    <w:uiPriority w:val="99"/>
    <w:rsid w:val="002b4aea"/>
    <w:pPr/>
    <w:rPr>
      <w:lang w:eastAsia="uk-UA"/>
    </w:rPr>
  </w:style>
  <w:style w:type="paragraph" w:styleId="PlainText">
    <w:name w:val="Plain Text"/>
    <w:basedOn w:val="15"/>
    <w:uiPriority w:val="99"/>
    <w:qFormat/>
    <w:rsid w:val="002b4aea"/>
    <w:pPr/>
    <w:rPr>
      <w:rFonts w:ascii="Calibri" w:hAnsi="Calibri"/>
      <w:sz w:val="22"/>
      <w:szCs w:val="21"/>
      <w:lang w:val="ru-RU" w:eastAsia="en-US"/>
    </w:rPr>
  </w:style>
  <w:style w:type="paragraph" w:styleId="Style31" w:customStyle="1">
    <w:name w:val="Знак Знак Знак"/>
    <w:basedOn w:val="15"/>
    <w:qFormat/>
    <w:rsid w:val="002b4aea"/>
    <w:pPr/>
    <w:rPr>
      <w:rFonts w:ascii="Verdana" w:hAnsi="Verdana"/>
      <w:lang w:val="en-US" w:eastAsia="en-US"/>
    </w:rPr>
  </w:style>
  <w:style w:type="paragraph" w:styleId="WW" w:customStyle="1">
    <w:name w:val="WW-Цитата"/>
    <w:basedOn w:val="15"/>
    <w:qFormat/>
    <w:rsid w:val="002b4aea"/>
    <w:pPr>
      <w:tabs>
        <w:tab w:val="clear" w:pos="720"/>
        <w:tab w:val="left" w:pos="4287" w:leader="none"/>
      </w:tabs>
      <w:ind w:left="-108" w:right="176" w:hanging="0"/>
    </w:pPr>
    <w:rPr>
      <w:bCs/>
      <w:lang w:eastAsia="ar-SA"/>
    </w:rPr>
  </w:style>
  <w:style w:type="paragraph" w:styleId="ListParagraph1" w:customStyle="1">
    <w:name w:val="List Paragraph1"/>
    <w:basedOn w:val="15"/>
    <w:qFormat/>
    <w:rsid w:val="002b4aea"/>
    <w:pPr>
      <w:spacing w:before="0" w:after="200"/>
      <w:ind w:left="720" w:hanging="0"/>
      <w:contextualSpacing/>
    </w:pPr>
    <w:rPr>
      <w:rFonts w:ascii="Calibri" w:hAnsi="Calibri"/>
      <w:sz w:val="22"/>
      <w:szCs w:val="22"/>
      <w:lang w:val="ru-RU" w:eastAsia="en-US"/>
    </w:rPr>
  </w:style>
  <w:style w:type="paragraph" w:styleId="ListBullet">
    <w:name w:val="List Bullet"/>
    <w:basedOn w:val="15"/>
    <w:uiPriority w:val="99"/>
    <w:qFormat/>
    <w:rsid w:val="002b4aea"/>
    <w:pPr>
      <w:tabs>
        <w:tab w:val="clear" w:pos="720"/>
        <w:tab w:val="left" w:pos="284" w:leader="none"/>
      </w:tabs>
      <w:textAlignment w:val="baseline"/>
    </w:pPr>
    <w:rPr>
      <w:rFonts w:ascii="Cambria" w:hAnsi="Cambria"/>
      <w:lang w:val="ru-RU"/>
    </w:rPr>
  </w:style>
  <w:style w:type="paragraph" w:styleId="ListBullet2">
    <w:name w:val="List Bullet 2"/>
    <w:basedOn w:val="15"/>
    <w:uiPriority w:val="99"/>
    <w:qFormat/>
    <w:rsid w:val="002b4aea"/>
    <w:pPr>
      <w:tabs>
        <w:tab w:val="clear" w:pos="720"/>
        <w:tab w:val="left" w:pos="643" w:leader="none"/>
      </w:tabs>
      <w:ind w:left="643" w:hanging="0"/>
    </w:pPr>
    <w:rPr>
      <w:szCs w:val="24"/>
      <w:lang w:val="ru-RU"/>
    </w:rPr>
  </w:style>
  <w:style w:type="paragraph" w:styleId="ListParagraph">
    <w:name w:val="List Paragraph"/>
    <w:basedOn w:val="15"/>
    <w:uiPriority w:val="34"/>
    <w:qFormat/>
    <w:rsid w:val="002b4aea"/>
    <w:pPr>
      <w:spacing w:before="0" w:after="200"/>
      <w:ind w:left="720" w:hanging="0"/>
      <w:contextualSpacing/>
    </w:pPr>
    <w:rPr>
      <w:rFonts w:ascii="Calibri" w:hAnsi="Calibri"/>
      <w:sz w:val="22"/>
      <w:szCs w:val="22"/>
      <w:lang w:val="ru-RU"/>
    </w:rPr>
  </w:style>
  <w:style w:type="paragraph" w:styleId="24" w:customStyle="1">
    <w:name w:val="Абзац списка2"/>
    <w:basedOn w:val="15"/>
    <w:link w:val="22"/>
    <w:qFormat/>
    <w:rsid w:val="002b4aea"/>
    <w:pPr>
      <w:ind w:left="720" w:hanging="0"/>
    </w:pPr>
    <w:rPr>
      <w:rFonts w:ascii="Calibri" w:hAnsi="Calibri"/>
      <w:sz w:val="22"/>
      <w:szCs w:val="22"/>
      <w:lang w:val="ru-RU" w:eastAsia="en-US"/>
    </w:rPr>
  </w:style>
  <w:style w:type="paragraph" w:styleId="Style32" w:customStyle="1">
    <w:name w:val="Знак Знак Знак Знак"/>
    <w:basedOn w:val="15"/>
    <w:qFormat/>
    <w:rsid w:val="00d913fd"/>
    <w:pPr/>
    <w:rPr>
      <w:rFonts w:ascii="Verdana" w:hAnsi="Verdana"/>
      <w:szCs w:val="24"/>
      <w:lang w:val="en-US" w:eastAsia="en-US"/>
    </w:rPr>
  </w:style>
  <w:style w:type="paragraph" w:styleId="Default" w:customStyle="1">
    <w:name w:val="Default"/>
    <w:uiPriority w:val="99"/>
    <w:qFormat/>
    <w:rsid w:val="0062278c"/>
    <w:pPr>
      <w:widowControl/>
      <w:suppressAutoHyphens w:val="true"/>
      <w:bidi w:val="0"/>
      <w:spacing w:before="0" w:after="0"/>
      <w:jc w:val="left"/>
    </w:pPr>
    <w:rPr>
      <w:rFonts w:ascii="Times New Roman" w:hAnsi="Times New Roman" w:eastAsia="Calibri" w:cs="Times New Roman"/>
      <w:color w:val="000000"/>
      <w:kern w:val="0"/>
      <w:sz w:val="24"/>
      <w:szCs w:val="24"/>
      <w:lang w:val="uk-UA" w:eastAsia="uk-UA" w:bidi="ar-SA"/>
    </w:rPr>
  </w:style>
  <w:style w:type="paragraph" w:styleId="Style33" w:customStyle="1">
    <w:name w:val="Нормальний текст"/>
    <w:basedOn w:val="15"/>
    <w:qFormat/>
    <w:rsid w:val="000f71b7"/>
    <w:pPr>
      <w:spacing w:before="120" w:after="20"/>
      <w:ind w:firstLine="567"/>
    </w:pPr>
    <w:rPr>
      <w:rFonts w:ascii="Antiqua" w:hAnsi="Antiqua"/>
      <w:sz w:val="26"/>
    </w:rPr>
  </w:style>
  <w:style w:type="paragraph" w:styleId="Style34" w:customStyle="1">
    <w:name w:val="Назва документа"/>
    <w:basedOn w:val="15"/>
    <w:next w:val="Style33"/>
    <w:qFormat/>
    <w:rsid w:val="000f71b7"/>
    <w:pPr>
      <w:keepNext w:val="true"/>
      <w:keepLines/>
      <w:spacing w:before="240" w:after="240"/>
      <w:jc w:val="center"/>
    </w:pPr>
    <w:rPr>
      <w:rFonts w:ascii="Antiqua" w:hAnsi="Antiqua"/>
      <w:b/>
      <w:sz w:val="26"/>
    </w:rPr>
  </w:style>
  <w:style w:type="paragraph" w:styleId="Style35" w:customStyle="1">
    <w:name w:val="Содержимое врезки"/>
    <w:basedOn w:val="15"/>
    <w:qFormat/>
    <w:pPr/>
    <w:rPr/>
  </w:style>
  <w:style w:type="paragraph" w:styleId="19" w:customStyle="1">
    <w:name w:val="Обычный1"/>
    <w:qFormat/>
    <w:pPr>
      <w:widowControl/>
      <w:suppressAutoHyphens w:val="true"/>
      <w:bidi w:val="0"/>
      <w:spacing w:before="100" w:after="100"/>
      <w:jc w:val="left"/>
    </w:pPr>
    <w:rPr>
      <w:rFonts w:ascii="Times New Roman" w:hAnsi="Times New Roman" w:eastAsia="Arial" w:cs="Courier New"/>
      <w:color w:val="auto"/>
      <w:kern w:val="0"/>
      <w:sz w:val="24"/>
      <w:szCs w:val="24"/>
      <w:lang w:val="ru-RU" w:eastAsia="en-US" w:bidi="ar-SA"/>
    </w:rPr>
  </w:style>
  <w:style w:type="paragraph" w:styleId="DefinitionTerm" w:customStyle="1">
    <w:name w:val="Definition Term"/>
    <w:basedOn w:val="19"/>
    <w:qFormat/>
    <w:pPr/>
    <w:rPr/>
  </w:style>
  <w:style w:type="paragraph" w:styleId="DefinitionList" w:customStyle="1">
    <w:name w:val="Definition List"/>
    <w:basedOn w:val="19"/>
    <w:qFormat/>
    <w:pPr>
      <w:ind w:left="360" w:hanging="0"/>
    </w:pPr>
    <w:rPr/>
  </w:style>
  <w:style w:type="paragraph" w:styleId="H1" w:customStyle="1">
    <w:name w:val="H1"/>
    <w:basedOn w:val="19"/>
    <w:qFormat/>
    <w:pPr>
      <w:keepNext w:val="true"/>
      <w:outlineLvl w:val="1"/>
    </w:pPr>
    <w:rPr>
      <w:b/>
      <w:kern w:val="2"/>
      <w:sz w:val="48"/>
    </w:rPr>
  </w:style>
  <w:style w:type="paragraph" w:styleId="H2" w:customStyle="1">
    <w:name w:val="H2"/>
    <w:basedOn w:val="19"/>
    <w:qFormat/>
    <w:pPr>
      <w:keepNext w:val="true"/>
      <w:outlineLvl w:val="2"/>
    </w:pPr>
    <w:rPr>
      <w:b/>
      <w:sz w:val="36"/>
    </w:rPr>
  </w:style>
  <w:style w:type="paragraph" w:styleId="H3" w:customStyle="1">
    <w:name w:val="H3"/>
    <w:basedOn w:val="19"/>
    <w:qFormat/>
    <w:pPr>
      <w:keepNext w:val="true"/>
      <w:outlineLvl w:val="3"/>
    </w:pPr>
    <w:rPr>
      <w:b/>
      <w:sz w:val="28"/>
    </w:rPr>
  </w:style>
  <w:style w:type="paragraph" w:styleId="H4" w:customStyle="1">
    <w:name w:val="H4"/>
    <w:basedOn w:val="19"/>
    <w:qFormat/>
    <w:pPr>
      <w:keepNext w:val="true"/>
      <w:outlineLvl w:val="4"/>
    </w:pPr>
    <w:rPr>
      <w:b/>
    </w:rPr>
  </w:style>
  <w:style w:type="paragraph" w:styleId="H5" w:customStyle="1">
    <w:name w:val="H5"/>
    <w:basedOn w:val="19"/>
    <w:qFormat/>
    <w:pPr>
      <w:keepNext w:val="true"/>
      <w:outlineLvl w:val="5"/>
    </w:pPr>
    <w:rPr>
      <w:b/>
      <w:sz w:val="20"/>
    </w:rPr>
  </w:style>
  <w:style w:type="paragraph" w:styleId="H6" w:customStyle="1">
    <w:name w:val="H6"/>
    <w:basedOn w:val="19"/>
    <w:qFormat/>
    <w:pPr>
      <w:keepNext w:val="true"/>
      <w:outlineLvl w:val="6"/>
    </w:pPr>
    <w:rPr>
      <w:b/>
      <w:sz w:val="16"/>
    </w:rPr>
  </w:style>
  <w:style w:type="paragraph" w:styleId="Address" w:customStyle="1">
    <w:name w:val="Address"/>
    <w:basedOn w:val="19"/>
    <w:qFormat/>
    <w:pPr/>
    <w:rPr>
      <w:i/>
    </w:rPr>
  </w:style>
  <w:style w:type="paragraph" w:styleId="Blockquote" w:customStyle="1">
    <w:name w:val="Blockquote"/>
    <w:basedOn w:val="19"/>
    <w:qFormat/>
    <w:pPr>
      <w:ind w:left="360" w:right="360" w:hanging="0"/>
    </w:pPr>
    <w:rPr/>
  </w:style>
  <w:style w:type="paragraph" w:styleId="Preformatted" w:customStyle="1">
    <w:name w:val="Preformatted"/>
    <w:basedOn w:val="19"/>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ru-RU" w:eastAsia="en-US" w:bidi="ar-SA"/>
    </w:rPr>
  </w:style>
  <w:style w:type="paragraph" w:styleId="110" w:customStyle="1">
    <w:name w:val="Обычный (веб)1"/>
    <w:basedOn w:val="Normal"/>
    <w:qFormat/>
    <w:rsid w:val="00ed6aa4"/>
    <w:pPr>
      <w:spacing w:before="280" w:after="280"/>
    </w:pPr>
    <w:rPr>
      <w:rFonts w:eastAsia="Times New Roman"/>
      <w:sz w:val="24"/>
      <w:szCs w:val="24"/>
      <w:lang w:eastAsia="zh-CN"/>
    </w:rPr>
  </w:style>
  <w:style w:type="paragraph" w:styleId="Style36" w:customStyle="1">
    <w:name w:val="Содержимое таблицы"/>
    <w:basedOn w:val="Normal"/>
    <w:qFormat/>
    <w:pPr>
      <w:widowControl w:val="false"/>
      <w:suppressLineNumbers/>
    </w:pPr>
    <w:rPr/>
  </w:style>
  <w:style w:type="paragraph" w:styleId="Style37" w:customStyle="1">
    <w:name w:val="Заголовок таблицы"/>
    <w:basedOn w:val="Style36"/>
    <w:qFormat/>
    <w:pPr>
      <w:jc w:val="center"/>
    </w:pPr>
    <w:rPr>
      <w:b/>
      <w:bCs/>
    </w:rPr>
  </w:style>
  <w:style w:type="paragraph" w:styleId="Style38" w:customStyle="1">
    <w:name w:val="Звичайний (веб)"/>
    <w:basedOn w:val="Normal"/>
    <w:qFormat/>
    <w:pPr>
      <w:spacing w:before="100" w:after="100"/>
    </w:pPr>
    <w:rPr>
      <w:rFonts w:ascii="Arial" w:hAnsi="Arial" w:eastAsia="SimSun;宋体"/>
      <w:color w:val="000000"/>
      <w:sz w:val="24"/>
      <w:szCs w:val="24"/>
    </w:rPr>
  </w:style>
  <w:style w:type="paragraph" w:styleId="Tbltxt" w:customStyle="1">
    <w:name w:val="tbl-txt"/>
    <w:basedOn w:val="Normal"/>
    <w:qFormat/>
    <w:pPr>
      <w:spacing w:before="0" w:after="102"/>
    </w:pPr>
    <w:rPr>
      <w:rFonts w:eastAsia="Times New Roman"/>
      <w:sz w:val="24"/>
    </w:rPr>
  </w:style>
  <w:style w:type="paragraph" w:styleId="Style39">
    <w:name w:val="Без інтервалів"/>
    <w:qFormat/>
    <w:pPr>
      <w:widowControl/>
      <w:suppressAutoHyphens w:val="true"/>
      <w:bidi w:val="0"/>
      <w:spacing w:before="0" w:after="0"/>
      <w:jc w:val="left"/>
    </w:pPr>
    <w:rPr>
      <w:rFonts w:ascii="Calibri" w:hAnsi="Calibri" w:eastAsia="Calibri" w:cs="Calibri" w:eastAsiaTheme="minorHAnsi"/>
      <w:color w:val="auto"/>
      <w:kern w:val="0"/>
      <w:sz w:val="22"/>
      <w:szCs w:val="22"/>
      <w:lang w:val="ru-RU" w:eastAsia="zh-CN" w:bidi="ar-SA"/>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ndale Sans UI;Arial Unicode MS" w:cs="Tahoma"/>
      <w:color w:val="auto"/>
      <w:kern w:val="2"/>
      <w:sz w:val="24"/>
      <w:szCs w:val="24"/>
      <w:lang w:val="de-DE" w:eastAsia="ja-JP" w:bidi="fa-IR"/>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b">
    <w:name w:val="Table Grid"/>
    <w:basedOn w:val="a1"/>
    <w:uiPriority w:val="59"/>
    <w:unhideWhenUsed/>
    <w:rsid w:val="00920f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mailto:v.g.moshkova@gmail.com" TargetMode="External"/><Relationship Id="rId4" Type="http://schemas.openxmlformats.org/officeDocument/2006/relationships/hyperlink" Target="../&#1042;&#1058;_&#1082;&#1086;&#1083;&#1086;&#1085;&#1082;&#1072;%20&#1082;&#1072;&#1087;&#1110;&#1083;&#1103;&#1088;&#1085;&#1072;/_blank" TargetMode="External"/><Relationship Id="rId5" Type="http://schemas.openxmlformats.org/officeDocument/2006/relationships/hyperlink" Target="../&#1042;&#1058;_&#1082;&#1086;&#1083;&#1086;&#1085;&#1082;&#1072;%20&#1082;&#1072;&#1087;&#1110;&#1083;&#1103;&#1088;&#1085;&#1072;/_blank" TargetMode="External"/><Relationship Id="rId6" Type="http://schemas.openxmlformats.org/officeDocument/2006/relationships/hyperlink" Target="../&#1042;&#1058;_&#1082;&#1086;&#1083;&#1086;&#1085;&#1082;&#1072;%20&#1082;&#1072;&#1087;&#1110;&#1083;&#1103;&#1088;&#1085;&#1072;/_blank" TargetMode="External"/><Relationship Id="rId7" Type="http://schemas.openxmlformats.org/officeDocument/2006/relationships/hyperlink" Target="../../../&#1058;&#1077;&#1085;&#1076;&#1077;&#1088;%202022/&#1055;&#1054;&#1057;&#1058;&#1040;&#1053;&#1054;&#1042;&#1040;_1178/&#1042;&#1058;_2_&#1050;&#1040;&#1051;&#1030;&#1041;&#1056;&#1059;&#1042;&#1040;&#1053;&#1053;&#1071;/_blank" TargetMode="External"/><Relationship Id="rId8" Type="http://schemas.openxmlformats.org/officeDocument/2006/relationships/hyperlink" Target="../../../&#1058;&#1077;&#1085;&#1076;&#1077;&#1088;%202022/&#1055;&#1054;&#1057;&#1058;&#1040;&#1053;&#1054;&#1042;&#1040;_1178/&#1042;&#1058;_2_&#1050;&#1040;&#1051;&#1030;&#1041;&#1056;&#1059;&#1042;&#1040;&#1053;&#1053;&#1071;/_blank" TargetMode="External"/><Relationship Id="rId9" Type="http://schemas.openxmlformats.org/officeDocument/2006/relationships/hyperlink" Target="../../../&#1058;&#1077;&#1085;&#1076;&#1077;&#1088;%202022/&#1055;&#1054;&#1057;&#1058;&#1040;&#1053;&#1054;&#1042;&#1040;_1178/&#1042;&#1058;_2_&#1050;&#1040;&#1051;&#1030;&#1041;&#1056;&#1059;&#1042;&#1040;&#1053;&#1053;&#1071;/_blank" TargetMode="External"/><Relationship Id="rId10" Type="http://schemas.openxmlformats.org/officeDocument/2006/relationships/hyperlink" Target="https://corruptinfo.nazk.gov.ua/reference/getpersonalreference/legal" TargetMode="External"/><Relationship Id="rId11" Type="http://schemas.openxmlformats.org/officeDocument/2006/relationships/hyperlink" Target="https://corruptinfo.nazk.gov.ua/reference/getpersonalreference/individual" TargetMode="External"/><Relationship Id="rId12"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youcontrol.com.ua/" TargetMode="External"/><Relationship Id="rId14" Type="http://schemas.openxmlformats.org/officeDocument/2006/relationships/hyperlink" Target="https://youcontrol.com.ua/" TargetMode="External"/><Relationship Id="rId15" Type="http://schemas.openxmlformats.org/officeDocument/2006/relationships/hyperlink" Target="https://zakon.rada.gov.ua/laws/show/1644-18"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11BFE-2671-4D14-901D-31A09448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Application>LibreOffice/7.1.2.2$Windows_x86 LibreOffice_project/8a45595d069ef5570103caea1b71cc9d82b2aae4</Application>
  <AppVersion>15.0000</AppVersion>
  <Pages>35</Pages>
  <Words>11176</Words>
  <Characters>76764</Characters>
  <CharactersWithSpaces>87380</CharactersWithSpaces>
  <Paragraphs>771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2021-01-27T07:16:00Z</dcterms:created>
  <dc:creator>HP ProBook 4530s</dc:creator>
  <dc:description/>
  <dc:language>ru-RU</dc:language>
  <cp:lastModifiedBy/>
  <cp:lastPrinted>2023-01-30T13:28:10Z</cp:lastPrinted>
  <dcterms:modified xsi:type="dcterms:W3CDTF">2023-01-30T13:07:30Z</dcterms:modified>
  <cp:revision>211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