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E77074" w:rsidRDefault="009F7C28" w:rsidP="007D2531">
      <w:pPr>
        <w:pStyle w:val="a3"/>
        <w:ind w:firstLine="708"/>
        <w:jc w:val="both"/>
        <w:rPr>
          <w:noProof/>
          <w:lang w:val="uk-UA"/>
        </w:rPr>
      </w:pPr>
      <w:r w:rsidRPr="00E77074">
        <w:rPr>
          <w:bCs/>
          <w:lang w:val="uk-UA"/>
        </w:rPr>
        <w:t>Предмет закупівлі:</w:t>
      </w:r>
      <w:r w:rsidR="00D87B5F" w:rsidRPr="00E77074">
        <w:rPr>
          <w:b/>
          <w:lang w:val="uk-UA" w:eastAsia="en-US"/>
        </w:rPr>
        <w:t xml:space="preserve"> </w:t>
      </w:r>
      <w:bookmarkStart w:id="0" w:name="_Hlk160026801"/>
      <w:r w:rsidR="006570EA" w:rsidRPr="00D87B5F">
        <w:rPr>
          <w:b/>
          <w:noProof/>
          <w:lang w:val="uk-UA"/>
        </w:rPr>
        <w:t>Код за ДК 021:2015 -</w:t>
      </w:r>
      <w:r w:rsidR="006570EA">
        <w:rPr>
          <w:b/>
          <w:noProof/>
          <w:lang w:val="uk-UA"/>
        </w:rPr>
        <w:t xml:space="preserve"> </w:t>
      </w:r>
      <w:r w:rsidR="006570EA" w:rsidRPr="00D554CE">
        <w:rPr>
          <w:b/>
          <w:noProof/>
          <w:lang w:val="uk-UA"/>
        </w:rPr>
        <w:t>33140000-3 Медичні матеріали</w:t>
      </w:r>
      <w:bookmarkStart w:id="1" w:name="_GoBack"/>
      <w:bookmarkEnd w:id="1"/>
      <w:r w:rsidR="007C69FE" w:rsidRPr="007C69FE">
        <w:rPr>
          <w:b/>
          <w:noProof/>
          <w:lang w:val="uk-UA"/>
        </w:rPr>
        <w:t xml:space="preserve"> </w:t>
      </w:r>
      <w:r w:rsidR="00185577" w:rsidRPr="00E77074">
        <w:rPr>
          <w:noProof/>
          <w:lang w:val="uk-UA"/>
        </w:rPr>
        <w:t>(</w:t>
      </w:r>
      <w:r w:rsidR="00281656" w:rsidRPr="00281656">
        <w:rPr>
          <w:noProof/>
          <w:lang w:val="uk-UA"/>
        </w:rPr>
        <w:t>Направляючі катетери, що встановлюються у судинне русло трансфеморально та поєднують властивості опорної системи до катетера дистального доступу. Використовуються для підтримки та проведення різних стентів великих за розмірами в складних умовах навігації по судинному руслу або заведення дистально двох мікрокатетерів одночасно. Стенти плетені із потікскеруючими властивостями великого діаметру та довжини, які імплантуються при фузіформних артеріальних аневризмах</w:t>
      </w:r>
      <w:r w:rsidR="00E1060B" w:rsidRPr="00E77074">
        <w:rPr>
          <w:noProof/>
          <w:lang w:val="uk-UA"/>
        </w:rPr>
        <w:t xml:space="preserve"> </w:t>
      </w:r>
      <w:r w:rsidR="00185577" w:rsidRPr="00E77074">
        <w:rPr>
          <w:noProof/>
          <w:lang w:val="uk-UA"/>
        </w:rPr>
        <w:t>(НК 024:2023</w:t>
      </w:r>
      <w:r w:rsidR="007D2531" w:rsidRPr="00E77074">
        <w:rPr>
          <w:noProof/>
          <w:lang w:val="uk-UA"/>
        </w:rPr>
        <w:t xml:space="preserve"> </w:t>
      </w:r>
      <w:r w:rsidR="007C69FE">
        <w:rPr>
          <w:noProof/>
          <w:lang w:val="uk-UA"/>
        </w:rPr>
        <w:t>«</w:t>
      </w:r>
      <w:r w:rsidR="009A5D77" w:rsidRPr="009A5D77">
        <w:rPr>
          <w:lang w:val="uk-UA"/>
        </w:rPr>
        <w:t>58865 Набір для введення судинного катетера</w:t>
      </w:r>
      <w:r w:rsidR="007C69FE">
        <w:rPr>
          <w:noProof/>
          <w:lang w:val="uk-UA"/>
        </w:rPr>
        <w:t xml:space="preserve">», </w:t>
      </w:r>
      <w:r w:rsidR="00E77074" w:rsidRPr="00E77074">
        <w:rPr>
          <w:noProof/>
          <w:lang w:val="uk-UA"/>
        </w:rPr>
        <w:t>«</w:t>
      </w:r>
      <w:r w:rsidR="009A5D77" w:rsidRPr="009A5D77">
        <w:rPr>
          <w:lang w:val="uk-UA"/>
        </w:rPr>
        <w:t>46352 Металевий непокритий стент для судин головного мозку</w:t>
      </w:r>
      <w:r w:rsidR="007D2531" w:rsidRPr="00E77074">
        <w:rPr>
          <w:noProof/>
          <w:lang w:val="uk-UA"/>
        </w:rPr>
        <w:t>»</w:t>
      </w:r>
      <w:r w:rsidR="00185577" w:rsidRPr="00E77074">
        <w:rPr>
          <w:noProof/>
          <w:lang w:val="uk-UA"/>
        </w:rPr>
        <w:t>))</w:t>
      </w:r>
      <w:bookmarkEnd w:id="0"/>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275"/>
      </w:tblGrid>
      <w:tr w:rsidR="009F7C28" w:rsidRPr="00E77074" w:rsidTr="0067610C">
        <w:trPr>
          <w:trHeight w:val="538"/>
        </w:trPr>
        <w:tc>
          <w:tcPr>
            <w:tcW w:w="664" w:type="dxa"/>
            <w:shd w:val="clear" w:color="auto" w:fill="auto"/>
          </w:tcPr>
          <w:p w:rsidR="009F7C28" w:rsidRPr="00E77074" w:rsidRDefault="009F7C28" w:rsidP="00602AB4">
            <w:pPr>
              <w:tabs>
                <w:tab w:val="left" w:pos="3261"/>
              </w:tabs>
              <w:rPr>
                <w:b/>
                <w:color w:val="000000"/>
              </w:rPr>
            </w:pPr>
            <w:r w:rsidRPr="00E77074">
              <w:rPr>
                <w:b/>
                <w:color w:val="000000"/>
              </w:rPr>
              <w:t>№ з/п</w:t>
            </w:r>
          </w:p>
        </w:tc>
        <w:tc>
          <w:tcPr>
            <w:tcW w:w="2421" w:type="dxa"/>
            <w:shd w:val="clear" w:color="auto" w:fill="auto"/>
          </w:tcPr>
          <w:p w:rsidR="009F7C28" w:rsidRPr="00E77074" w:rsidRDefault="009F7C28" w:rsidP="00602AB4">
            <w:pPr>
              <w:tabs>
                <w:tab w:val="left" w:pos="3261"/>
              </w:tabs>
              <w:jc w:val="center"/>
              <w:rPr>
                <w:b/>
                <w:color w:val="000000"/>
              </w:rPr>
            </w:pPr>
            <w:r w:rsidRPr="00E77074">
              <w:rPr>
                <w:b/>
                <w:color w:val="000000"/>
              </w:rPr>
              <w:t>Найменування</w:t>
            </w:r>
          </w:p>
        </w:tc>
        <w:tc>
          <w:tcPr>
            <w:tcW w:w="3916" w:type="dxa"/>
          </w:tcPr>
          <w:p w:rsidR="009F7C28" w:rsidRPr="00E77074" w:rsidRDefault="009F7C28" w:rsidP="00602AB4">
            <w:pPr>
              <w:tabs>
                <w:tab w:val="left" w:pos="708"/>
              </w:tabs>
              <w:jc w:val="center"/>
              <w:rPr>
                <w:b/>
                <w:color w:val="000000"/>
              </w:rPr>
            </w:pPr>
            <w:r w:rsidRPr="00E77074">
              <w:rPr>
                <w:b/>
              </w:rPr>
              <w:t>НК 024:2023</w:t>
            </w:r>
          </w:p>
        </w:tc>
        <w:tc>
          <w:tcPr>
            <w:tcW w:w="1330" w:type="dxa"/>
          </w:tcPr>
          <w:p w:rsidR="009F7C28" w:rsidRPr="00E77074" w:rsidRDefault="009F7C28" w:rsidP="00602AB4">
            <w:pPr>
              <w:tabs>
                <w:tab w:val="left" w:pos="708"/>
              </w:tabs>
              <w:jc w:val="center"/>
              <w:rPr>
                <w:b/>
                <w:color w:val="000000"/>
              </w:rPr>
            </w:pPr>
            <w:r w:rsidRPr="00E77074">
              <w:rPr>
                <w:b/>
                <w:color w:val="000000"/>
              </w:rPr>
              <w:t>Одиниця виміру</w:t>
            </w:r>
          </w:p>
        </w:tc>
        <w:tc>
          <w:tcPr>
            <w:tcW w:w="1275" w:type="dxa"/>
          </w:tcPr>
          <w:p w:rsidR="009F7C28" w:rsidRPr="00E77074" w:rsidRDefault="009F7C28" w:rsidP="00602AB4">
            <w:pPr>
              <w:tabs>
                <w:tab w:val="left" w:pos="708"/>
              </w:tabs>
              <w:jc w:val="center"/>
              <w:rPr>
                <w:b/>
                <w:color w:val="000000"/>
              </w:rPr>
            </w:pPr>
            <w:r w:rsidRPr="00E77074">
              <w:rPr>
                <w:b/>
                <w:color w:val="000000"/>
              </w:rPr>
              <w:t>Кількість</w:t>
            </w:r>
          </w:p>
        </w:tc>
      </w:tr>
      <w:tr w:rsidR="003F10E1" w:rsidRPr="00E77074" w:rsidTr="0067610C">
        <w:trPr>
          <w:trHeight w:val="707"/>
        </w:trPr>
        <w:tc>
          <w:tcPr>
            <w:tcW w:w="664" w:type="dxa"/>
            <w:shd w:val="clear" w:color="auto" w:fill="auto"/>
          </w:tcPr>
          <w:p w:rsidR="003F10E1" w:rsidRPr="00E77074" w:rsidRDefault="003F10E1" w:rsidP="003F10E1">
            <w:pPr>
              <w:tabs>
                <w:tab w:val="left" w:pos="3261"/>
              </w:tabs>
              <w:rPr>
                <w:b/>
                <w:color w:val="000000"/>
              </w:rPr>
            </w:pPr>
            <w:bookmarkStart w:id="2" w:name="_Hlk141886407"/>
            <w:r w:rsidRPr="00E77074">
              <w:rPr>
                <w:b/>
                <w:color w:val="000000"/>
              </w:rPr>
              <w:t>1</w:t>
            </w:r>
          </w:p>
        </w:tc>
        <w:tc>
          <w:tcPr>
            <w:tcW w:w="2421" w:type="dxa"/>
            <w:shd w:val="clear" w:color="auto" w:fill="auto"/>
          </w:tcPr>
          <w:p w:rsidR="003F10E1" w:rsidRPr="00070F28" w:rsidRDefault="003F10E1" w:rsidP="003F10E1">
            <w:pPr>
              <w:rPr>
                <w:color w:val="222222"/>
                <w:lang w:eastAsia="uk-UA"/>
              </w:rPr>
            </w:pPr>
            <w:bookmarkStart w:id="3" w:name="_Hlk162908449"/>
            <w:proofErr w:type="spellStart"/>
            <w:r w:rsidRPr="00070F28">
              <w:rPr>
                <w:color w:val="000000"/>
                <w:lang w:eastAsia="uk-UA"/>
              </w:rPr>
              <w:t>Нейро</w:t>
            </w:r>
            <w:proofErr w:type="spellEnd"/>
            <w:r w:rsidRPr="00070F28">
              <w:rPr>
                <w:color w:val="000000"/>
                <w:lang w:eastAsia="uk-UA"/>
              </w:rPr>
              <w:t xml:space="preserve"> направляючий катетер</w:t>
            </w:r>
            <w:bookmarkEnd w:id="3"/>
          </w:p>
        </w:tc>
        <w:tc>
          <w:tcPr>
            <w:tcW w:w="3916" w:type="dxa"/>
          </w:tcPr>
          <w:p w:rsidR="003F10E1" w:rsidRPr="00E77074" w:rsidRDefault="003F10E1" w:rsidP="003F10E1">
            <w:r w:rsidRPr="009A5D77">
              <w:t>58865 Набір для введення судинного катетера</w:t>
            </w:r>
          </w:p>
        </w:tc>
        <w:tc>
          <w:tcPr>
            <w:tcW w:w="1330" w:type="dxa"/>
          </w:tcPr>
          <w:p w:rsidR="003F10E1" w:rsidRPr="00E77074" w:rsidRDefault="003F10E1" w:rsidP="003F10E1">
            <w:pPr>
              <w:tabs>
                <w:tab w:val="left" w:pos="708"/>
              </w:tabs>
              <w:jc w:val="center"/>
              <w:rPr>
                <w:color w:val="000000"/>
              </w:rPr>
            </w:pPr>
            <w:proofErr w:type="spellStart"/>
            <w:r w:rsidRPr="00E77074">
              <w:rPr>
                <w:color w:val="000000"/>
              </w:rPr>
              <w:t>шт</w:t>
            </w:r>
            <w:proofErr w:type="spellEnd"/>
          </w:p>
        </w:tc>
        <w:tc>
          <w:tcPr>
            <w:tcW w:w="1275" w:type="dxa"/>
          </w:tcPr>
          <w:p w:rsidR="003F10E1" w:rsidRPr="00070F28" w:rsidRDefault="003F10E1" w:rsidP="003F10E1">
            <w:pPr>
              <w:jc w:val="center"/>
              <w:rPr>
                <w:color w:val="222222"/>
                <w:lang w:eastAsia="uk-UA"/>
              </w:rPr>
            </w:pPr>
            <w:r w:rsidRPr="00070F28">
              <w:rPr>
                <w:color w:val="000000"/>
                <w:lang w:eastAsia="uk-UA"/>
              </w:rPr>
              <w:t>25</w:t>
            </w:r>
          </w:p>
        </w:tc>
      </w:tr>
      <w:tr w:rsidR="003F10E1" w:rsidRPr="00E77074" w:rsidTr="000925D9">
        <w:trPr>
          <w:trHeight w:val="707"/>
        </w:trPr>
        <w:tc>
          <w:tcPr>
            <w:tcW w:w="664" w:type="dxa"/>
            <w:shd w:val="clear" w:color="auto" w:fill="auto"/>
          </w:tcPr>
          <w:p w:rsidR="003F10E1" w:rsidRPr="00E77074" w:rsidRDefault="003F10E1" w:rsidP="003F10E1">
            <w:pPr>
              <w:tabs>
                <w:tab w:val="left" w:pos="3261"/>
              </w:tabs>
              <w:rPr>
                <w:b/>
                <w:color w:val="000000"/>
              </w:rPr>
            </w:pPr>
            <w:r w:rsidRPr="00E77074">
              <w:rPr>
                <w:b/>
                <w:color w:val="000000"/>
              </w:rPr>
              <w:t>2</w:t>
            </w:r>
          </w:p>
        </w:tc>
        <w:tc>
          <w:tcPr>
            <w:tcW w:w="2421" w:type="dxa"/>
            <w:shd w:val="clear" w:color="auto" w:fill="auto"/>
          </w:tcPr>
          <w:p w:rsidR="003F10E1" w:rsidRPr="00070F28" w:rsidRDefault="003F10E1" w:rsidP="003F10E1">
            <w:pPr>
              <w:rPr>
                <w:color w:val="222222"/>
                <w:lang w:eastAsia="uk-UA"/>
              </w:rPr>
            </w:pPr>
            <w:r w:rsidRPr="00070F28">
              <w:rPr>
                <w:color w:val="000000"/>
                <w:lang w:eastAsia="uk-UA"/>
              </w:rPr>
              <w:t xml:space="preserve">Стенти </w:t>
            </w:r>
            <w:r w:rsidR="006725F1">
              <w:rPr>
                <w:color w:val="000000"/>
                <w:lang w:eastAsia="uk-UA"/>
              </w:rPr>
              <w:t>великого</w:t>
            </w:r>
            <w:r w:rsidRPr="00070F28">
              <w:rPr>
                <w:color w:val="000000"/>
                <w:lang w:eastAsia="uk-UA"/>
              </w:rPr>
              <w:t xml:space="preserve"> діаметру</w:t>
            </w:r>
          </w:p>
        </w:tc>
        <w:tc>
          <w:tcPr>
            <w:tcW w:w="3916" w:type="dxa"/>
          </w:tcPr>
          <w:p w:rsidR="003F10E1" w:rsidRPr="003E211A" w:rsidRDefault="003F10E1" w:rsidP="003F10E1">
            <w:pPr>
              <w:rPr>
                <w:highlight w:val="yellow"/>
              </w:rPr>
            </w:pPr>
            <w:r w:rsidRPr="003E211A">
              <w:t>46352 Металевий непокритий стент для судин головного мозку</w:t>
            </w:r>
          </w:p>
        </w:tc>
        <w:tc>
          <w:tcPr>
            <w:tcW w:w="1330" w:type="dxa"/>
          </w:tcPr>
          <w:p w:rsidR="003F10E1" w:rsidRPr="00E77074" w:rsidRDefault="003F10E1" w:rsidP="003F10E1">
            <w:pPr>
              <w:jc w:val="center"/>
            </w:pPr>
            <w:proofErr w:type="spellStart"/>
            <w:r w:rsidRPr="00E77074">
              <w:rPr>
                <w:color w:val="000000"/>
              </w:rPr>
              <w:t>шт</w:t>
            </w:r>
            <w:proofErr w:type="spellEnd"/>
          </w:p>
        </w:tc>
        <w:tc>
          <w:tcPr>
            <w:tcW w:w="1275" w:type="dxa"/>
          </w:tcPr>
          <w:p w:rsidR="003F10E1" w:rsidRPr="00070F28" w:rsidRDefault="003F10E1" w:rsidP="003F10E1">
            <w:pPr>
              <w:jc w:val="center"/>
              <w:rPr>
                <w:color w:val="222222"/>
                <w:lang w:eastAsia="uk-UA"/>
              </w:rPr>
            </w:pPr>
            <w:r w:rsidRPr="00070F28">
              <w:rPr>
                <w:color w:val="000000"/>
                <w:lang w:eastAsia="uk-UA"/>
              </w:rPr>
              <w:t>12</w:t>
            </w:r>
          </w:p>
        </w:tc>
      </w:tr>
      <w:bookmarkEnd w:id="2"/>
    </w:tbl>
    <w:p w:rsidR="009F7C28" w:rsidRPr="00E77074" w:rsidRDefault="009F7C28" w:rsidP="009F7C28">
      <w:pPr>
        <w:jc w:val="both"/>
      </w:pPr>
    </w:p>
    <w:p w:rsidR="003F1CFB" w:rsidRPr="00E77074" w:rsidRDefault="009A5D77" w:rsidP="003F1CFB">
      <w:pPr>
        <w:pStyle w:val="a5"/>
        <w:numPr>
          <w:ilvl w:val="0"/>
          <w:numId w:val="1"/>
        </w:numPr>
        <w:shd w:val="clear" w:color="auto" w:fill="FFFFFF"/>
        <w:contextualSpacing/>
        <w:jc w:val="both"/>
        <w:textAlignment w:val="baseline"/>
        <w:rPr>
          <w:b/>
        </w:rPr>
      </w:pPr>
      <w:proofErr w:type="spellStart"/>
      <w:r w:rsidRPr="009A5D77">
        <w:rPr>
          <w:b/>
          <w:lang w:val="uk-UA"/>
        </w:rPr>
        <w:t>Нейро</w:t>
      </w:r>
      <w:proofErr w:type="spellEnd"/>
      <w:r w:rsidRPr="009A5D77">
        <w:rPr>
          <w:b/>
          <w:lang w:val="uk-UA"/>
        </w:rPr>
        <w:t xml:space="preserve"> направляючий катетер</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475"/>
      </w:tblGrid>
      <w:tr w:rsidR="003F1CFB" w:rsidRPr="00E77074" w:rsidTr="0067610C">
        <w:tc>
          <w:tcPr>
            <w:tcW w:w="536"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 з/п</w:t>
            </w:r>
          </w:p>
        </w:tc>
        <w:tc>
          <w:tcPr>
            <w:tcW w:w="2656"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Характеристика/ параметр</w:t>
            </w:r>
          </w:p>
        </w:tc>
        <w:tc>
          <w:tcPr>
            <w:tcW w:w="6475"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Медико-технічні вимоги</w:t>
            </w:r>
          </w:p>
        </w:tc>
      </w:tr>
      <w:tr w:rsidR="009A5D77" w:rsidRPr="00E77074" w:rsidTr="0067610C">
        <w:tc>
          <w:tcPr>
            <w:tcW w:w="536" w:type="dxa"/>
            <w:shd w:val="clear" w:color="auto" w:fill="auto"/>
          </w:tcPr>
          <w:p w:rsidR="009A5D77" w:rsidRPr="00E77074" w:rsidRDefault="009A5D77" w:rsidP="009A5D77">
            <w:pPr>
              <w:jc w:val="center"/>
            </w:pPr>
            <w:r w:rsidRPr="00E77074">
              <w:t>1</w:t>
            </w:r>
          </w:p>
        </w:tc>
        <w:tc>
          <w:tcPr>
            <w:tcW w:w="2656" w:type="dxa"/>
            <w:shd w:val="clear" w:color="auto" w:fill="auto"/>
          </w:tcPr>
          <w:p w:rsidR="009A5D77" w:rsidRPr="003674AB" w:rsidRDefault="009A5D77" w:rsidP="009A5D77">
            <w:pPr>
              <w:widowControl w:val="0"/>
              <w:autoSpaceDE w:val="0"/>
              <w:autoSpaceDN w:val="0"/>
              <w:adjustRightInd w:val="0"/>
            </w:pPr>
            <w:r w:rsidRPr="003674AB">
              <w:t>Показання до застосування</w:t>
            </w:r>
          </w:p>
        </w:tc>
        <w:tc>
          <w:tcPr>
            <w:tcW w:w="6475" w:type="dxa"/>
            <w:shd w:val="clear" w:color="auto" w:fill="auto"/>
          </w:tcPr>
          <w:p w:rsidR="009A5D77" w:rsidRPr="003674AB" w:rsidRDefault="009A5D77" w:rsidP="009A5D77">
            <w:pPr>
              <w:pStyle w:val="2"/>
              <w:spacing w:after="0" w:line="240" w:lineRule="auto"/>
              <w:ind w:left="0"/>
              <w:jc w:val="both"/>
              <w:rPr>
                <w:rFonts w:ascii="Times New Roman" w:hAnsi="Times New Roman"/>
                <w:lang w:val="uk-UA"/>
              </w:rPr>
            </w:pPr>
            <w:r w:rsidRPr="003674AB">
              <w:rPr>
                <w:rFonts w:ascii="Times New Roman" w:hAnsi="Times New Roman"/>
                <w:lang w:val="uk-UA"/>
              </w:rPr>
              <w:t xml:space="preserve">Для забезпечення дистальної катетеризації та навігації </w:t>
            </w:r>
            <w:proofErr w:type="spellStart"/>
            <w:r w:rsidRPr="003674AB">
              <w:rPr>
                <w:rFonts w:ascii="Times New Roman" w:hAnsi="Times New Roman"/>
                <w:lang w:val="uk-UA"/>
              </w:rPr>
              <w:t>інтракраніальних</w:t>
            </w:r>
            <w:proofErr w:type="spellEnd"/>
            <w:r w:rsidRPr="003674AB">
              <w:rPr>
                <w:rFonts w:ascii="Times New Roman" w:hAnsi="Times New Roman"/>
                <w:lang w:val="uk-UA"/>
              </w:rPr>
              <w:t xml:space="preserve"> </w:t>
            </w:r>
            <w:proofErr w:type="spellStart"/>
            <w:r w:rsidRPr="003674AB">
              <w:rPr>
                <w:rFonts w:ascii="Times New Roman" w:hAnsi="Times New Roman"/>
                <w:lang w:val="uk-UA"/>
              </w:rPr>
              <w:t>мікрокатетерів</w:t>
            </w:r>
            <w:proofErr w:type="spellEnd"/>
            <w:r w:rsidRPr="003674AB">
              <w:rPr>
                <w:rFonts w:ascii="Times New Roman" w:hAnsi="Times New Roman"/>
                <w:lang w:val="uk-UA"/>
              </w:rPr>
              <w:t xml:space="preserve"> та інших мікроінструментів у випадках складною </w:t>
            </w:r>
            <w:proofErr w:type="spellStart"/>
            <w:r w:rsidRPr="003674AB">
              <w:rPr>
                <w:rFonts w:ascii="Times New Roman" w:hAnsi="Times New Roman"/>
                <w:lang w:val="uk-UA"/>
              </w:rPr>
              <w:t>ангіоархітектоніки</w:t>
            </w:r>
            <w:proofErr w:type="spellEnd"/>
            <w:r w:rsidRPr="003674AB">
              <w:rPr>
                <w:rFonts w:ascii="Times New Roman" w:hAnsi="Times New Roman"/>
                <w:lang w:val="uk-UA"/>
              </w:rPr>
              <w:t xml:space="preserve"> мозкових артерій. </w:t>
            </w:r>
          </w:p>
        </w:tc>
      </w:tr>
      <w:tr w:rsidR="009A5D77" w:rsidRPr="00E77074" w:rsidTr="0067610C">
        <w:tc>
          <w:tcPr>
            <w:tcW w:w="536" w:type="dxa"/>
            <w:shd w:val="clear" w:color="auto" w:fill="auto"/>
          </w:tcPr>
          <w:p w:rsidR="009A5D77" w:rsidRPr="00E77074" w:rsidRDefault="009A5D77" w:rsidP="009A5D77">
            <w:pPr>
              <w:jc w:val="center"/>
            </w:pPr>
            <w:r w:rsidRPr="00E77074">
              <w:t>2</w:t>
            </w:r>
          </w:p>
        </w:tc>
        <w:tc>
          <w:tcPr>
            <w:tcW w:w="2656" w:type="dxa"/>
            <w:shd w:val="clear" w:color="auto" w:fill="auto"/>
          </w:tcPr>
          <w:p w:rsidR="009A5D77" w:rsidRPr="003674AB" w:rsidRDefault="009A5D77" w:rsidP="009A5D77">
            <w:pPr>
              <w:widowControl w:val="0"/>
              <w:autoSpaceDE w:val="0"/>
              <w:autoSpaceDN w:val="0"/>
              <w:adjustRightInd w:val="0"/>
            </w:pPr>
            <w:r w:rsidRPr="003674AB">
              <w:t>Структура</w:t>
            </w:r>
          </w:p>
        </w:tc>
        <w:tc>
          <w:tcPr>
            <w:tcW w:w="6475" w:type="dxa"/>
            <w:shd w:val="clear" w:color="auto" w:fill="auto"/>
          </w:tcPr>
          <w:p w:rsidR="009A5D77" w:rsidRPr="003674AB" w:rsidRDefault="009A5D77" w:rsidP="009A5D77">
            <w:pPr>
              <w:pStyle w:val="2"/>
              <w:spacing w:after="0" w:line="240" w:lineRule="auto"/>
              <w:ind w:left="0"/>
              <w:jc w:val="both"/>
              <w:rPr>
                <w:rFonts w:ascii="Times New Roman" w:hAnsi="Times New Roman"/>
                <w:lang w:val="uk-UA"/>
              </w:rPr>
            </w:pPr>
            <w:r w:rsidRPr="003674AB">
              <w:rPr>
                <w:rFonts w:ascii="Times New Roman" w:hAnsi="Times New Roman"/>
                <w:lang w:val="uk-UA"/>
              </w:rPr>
              <w:t xml:space="preserve">Структура інтродьюсера повинна забезпечувати гарну підтримку мікроінструментів, прогресуючу гнучкість по довжині та відмінну </w:t>
            </w:r>
            <w:proofErr w:type="spellStart"/>
            <w:r w:rsidRPr="003674AB">
              <w:rPr>
                <w:rFonts w:ascii="Times New Roman" w:hAnsi="Times New Roman"/>
                <w:lang w:val="uk-UA"/>
              </w:rPr>
              <w:t>проходимість</w:t>
            </w:r>
            <w:proofErr w:type="spellEnd"/>
            <w:r w:rsidRPr="003674AB">
              <w:rPr>
                <w:rFonts w:ascii="Times New Roman" w:hAnsi="Times New Roman"/>
                <w:lang w:val="uk-UA"/>
              </w:rPr>
              <w:t xml:space="preserve"> по звивистих та тонких судинах, для чого інтродьюсер повинен мати армування з прогресуючим пом’якшенням та зменшеному зовнішньому діаметру.</w:t>
            </w:r>
          </w:p>
        </w:tc>
      </w:tr>
      <w:tr w:rsidR="009A5D77" w:rsidRPr="00E77074" w:rsidTr="0067610C">
        <w:tc>
          <w:tcPr>
            <w:tcW w:w="536" w:type="dxa"/>
            <w:shd w:val="clear" w:color="auto" w:fill="auto"/>
          </w:tcPr>
          <w:p w:rsidR="009A5D77" w:rsidRPr="00E77074" w:rsidRDefault="009A5D77" w:rsidP="009A5D77">
            <w:pPr>
              <w:jc w:val="center"/>
            </w:pPr>
            <w:r w:rsidRPr="00E77074">
              <w:t>3</w:t>
            </w:r>
          </w:p>
        </w:tc>
        <w:tc>
          <w:tcPr>
            <w:tcW w:w="2656" w:type="dxa"/>
            <w:shd w:val="clear" w:color="auto" w:fill="auto"/>
          </w:tcPr>
          <w:p w:rsidR="009A5D77" w:rsidRPr="003674AB" w:rsidRDefault="009A5D77" w:rsidP="009A5D77">
            <w:r w:rsidRPr="003674AB">
              <w:t>Зовнішні та внутрішні діаметри.</w:t>
            </w:r>
          </w:p>
        </w:tc>
        <w:tc>
          <w:tcPr>
            <w:tcW w:w="6475" w:type="dxa"/>
            <w:shd w:val="clear" w:color="auto" w:fill="auto"/>
          </w:tcPr>
          <w:p w:rsidR="009A5D77" w:rsidRPr="003674AB" w:rsidRDefault="009A5D77" w:rsidP="009A5D77">
            <w:pPr>
              <w:jc w:val="both"/>
            </w:pPr>
            <w:r w:rsidRPr="003674AB">
              <w:t xml:space="preserve">Зовнішній діаметр проксимальної частини не повинен перевищувати </w:t>
            </w:r>
            <w:r w:rsidRPr="003674AB">
              <w:rPr>
                <w:color w:val="002100"/>
                <w:lang w:eastAsia="uk-UA"/>
              </w:rPr>
              <w:t>0.106”</w:t>
            </w:r>
            <w:r w:rsidRPr="003674AB">
              <w:t>;</w:t>
            </w:r>
          </w:p>
          <w:p w:rsidR="009A5D77" w:rsidRPr="003674AB" w:rsidRDefault="009A5D77" w:rsidP="009A5D77">
            <w:pPr>
              <w:jc w:val="both"/>
            </w:pPr>
            <w:r w:rsidRPr="003674AB">
              <w:t xml:space="preserve">Зовнішній діаметр дистальної частини не повинен перевищувати </w:t>
            </w:r>
            <w:r w:rsidRPr="003674AB">
              <w:rPr>
                <w:color w:val="002100"/>
                <w:lang w:eastAsia="uk-UA"/>
              </w:rPr>
              <w:t>0.100”</w:t>
            </w:r>
            <w:r w:rsidRPr="003674AB">
              <w:t>;</w:t>
            </w:r>
          </w:p>
          <w:p w:rsidR="009A5D77" w:rsidRPr="003674AB" w:rsidRDefault="009A5D77" w:rsidP="009A5D77">
            <w:pPr>
              <w:jc w:val="both"/>
            </w:pPr>
            <w:r w:rsidRPr="003674AB">
              <w:t xml:space="preserve">Внутрішній діаметр по всій довжині не повинен бути меншим за </w:t>
            </w:r>
            <w:r w:rsidRPr="003674AB">
              <w:rPr>
                <w:color w:val="002100"/>
                <w:lang w:eastAsia="uk-UA"/>
              </w:rPr>
              <w:t>0.088”</w:t>
            </w:r>
            <w:r w:rsidRPr="003674AB">
              <w:t>;</w:t>
            </w:r>
          </w:p>
        </w:tc>
      </w:tr>
      <w:tr w:rsidR="009A5D77" w:rsidRPr="00E77074" w:rsidTr="0067610C">
        <w:tc>
          <w:tcPr>
            <w:tcW w:w="536" w:type="dxa"/>
            <w:shd w:val="clear" w:color="auto" w:fill="auto"/>
          </w:tcPr>
          <w:p w:rsidR="009A5D77" w:rsidRPr="00E77074" w:rsidRDefault="009A5D77" w:rsidP="009A5D77">
            <w:pPr>
              <w:jc w:val="center"/>
            </w:pPr>
            <w:r w:rsidRPr="00E77074">
              <w:t>4</w:t>
            </w:r>
          </w:p>
        </w:tc>
        <w:tc>
          <w:tcPr>
            <w:tcW w:w="2656" w:type="dxa"/>
            <w:shd w:val="clear" w:color="auto" w:fill="auto"/>
          </w:tcPr>
          <w:p w:rsidR="009A5D77" w:rsidRPr="003674AB" w:rsidRDefault="009A5D77" w:rsidP="009A5D77">
            <w:pPr>
              <w:widowControl w:val="0"/>
              <w:autoSpaceDE w:val="0"/>
              <w:autoSpaceDN w:val="0"/>
              <w:adjustRightInd w:val="0"/>
            </w:pPr>
            <w:r w:rsidRPr="003674AB">
              <w:t>Гідрофільне покриття</w:t>
            </w:r>
          </w:p>
        </w:tc>
        <w:tc>
          <w:tcPr>
            <w:tcW w:w="6475" w:type="dxa"/>
            <w:shd w:val="clear" w:color="auto" w:fill="auto"/>
          </w:tcPr>
          <w:p w:rsidR="009A5D77" w:rsidRPr="003674AB" w:rsidRDefault="009A5D77" w:rsidP="009A5D77">
            <w:pPr>
              <w:pStyle w:val="2"/>
              <w:spacing w:after="0" w:line="240" w:lineRule="auto"/>
              <w:ind w:left="0"/>
              <w:jc w:val="both"/>
              <w:rPr>
                <w:rFonts w:ascii="Times New Roman" w:hAnsi="Times New Roman"/>
                <w:lang w:val="uk-UA"/>
              </w:rPr>
            </w:pPr>
            <w:r w:rsidRPr="003674AB">
              <w:rPr>
                <w:rFonts w:ascii="Times New Roman" w:hAnsi="Times New Roman"/>
                <w:lang w:val="uk-UA"/>
              </w:rPr>
              <w:t>Для швидкого та надійного введення інтродьюсера, дистальний сегмент повинен мати не менше 20 см. гідрофільного покриття.</w:t>
            </w:r>
          </w:p>
        </w:tc>
      </w:tr>
      <w:tr w:rsidR="009A5D77" w:rsidRPr="00E77074" w:rsidTr="0067610C">
        <w:tc>
          <w:tcPr>
            <w:tcW w:w="536" w:type="dxa"/>
            <w:shd w:val="clear" w:color="auto" w:fill="auto"/>
          </w:tcPr>
          <w:p w:rsidR="009A5D77" w:rsidRPr="00E77074" w:rsidRDefault="009A5D77" w:rsidP="009A5D77">
            <w:pPr>
              <w:jc w:val="center"/>
            </w:pPr>
            <w:r>
              <w:t>5</w:t>
            </w:r>
          </w:p>
        </w:tc>
        <w:tc>
          <w:tcPr>
            <w:tcW w:w="2656" w:type="dxa"/>
            <w:shd w:val="clear" w:color="auto" w:fill="auto"/>
          </w:tcPr>
          <w:p w:rsidR="009A5D77" w:rsidRPr="003674AB" w:rsidRDefault="009A5D77" w:rsidP="009A5D77">
            <w:pPr>
              <w:widowControl w:val="0"/>
              <w:autoSpaceDE w:val="0"/>
              <w:autoSpaceDN w:val="0"/>
              <w:adjustRightInd w:val="0"/>
            </w:pPr>
            <w:r w:rsidRPr="003674AB">
              <w:t>Довжина</w:t>
            </w:r>
          </w:p>
        </w:tc>
        <w:tc>
          <w:tcPr>
            <w:tcW w:w="6475" w:type="dxa"/>
            <w:shd w:val="clear" w:color="auto" w:fill="auto"/>
          </w:tcPr>
          <w:p w:rsidR="009A5D77" w:rsidRPr="003674AB" w:rsidRDefault="009A5D77" w:rsidP="009A5D77">
            <w:pPr>
              <w:pStyle w:val="2"/>
              <w:spacing w:after="0" w:line="240" w:lineRule="auto"/>
              <w:ind w:left="0"/>
              <w:jc w:val="both"/>
              <w:rPr>
                <w:rFonts w:ascii="Times New Roman" w:hAnsi="Times New Roman"/>
                <w:lang w:val="uk-UA"/>
              </w:rPr>
            </w:pPr>
            <w:r w:rsidRPr="003674AB">
              <w:rPr>
                <w:rFonts w:ascii="Times New Roman" w:hAnsi="Times New Roman"/>
                <w:lang w:val="uk-UA"/>
              </w:rPr>
              <w:t xml:space="preserve">Мають бути моделі з довжиною 80 см., 90 см. та 100 см. </w:t>
            </w:r>
          </w:p>
        </w:tc>
      </w:tr>
    </w:tbl>
    <w:p w:rsidR="009F7C28" w:rsidRPr="00E77074" w:rsidRDefault="009F7C28" w:rsidP="009F7C28">
      <w:pPr>
        <w:jc w:val="both"/>
        <w:rPr>
          <w:b/>
        </w:rPr>
      </w:pPr>
    </w:p>
    <w:p w:rsidR="003354A4" w:rsidRPr="00E77074" w:rsidRDefault="009A5D77" w:rsidP="003354A4">
      <w:pPr>
        <w:pStyle w:val="a5"/>
        <w:numPr>
          <w:ilvl w:val="0"/>
          <w:numId w:val="1"/>
        </w:numPr>
        <w:jc w:val="both"/>
        <w:rPr>
          <w:b/>
        </w:rPr>
      </w:pPr>
      <w:proofErr w:type="spellStart"/>
      <w:r w:rsidRPr="009A5D77">
        <w:rPr>
          <w:b/>
        </w:rPr>
        <w:t>Стенти</w:t>
      </w:r>
      <w:proofErr w:type="spellEnd"/>
      <w:r w:rsidR="006725F1">
        <w:rPr>
          <w:b/>
          <w:lang w:val="uk-UA"/>
        </w:rPr>
        <w:t xml:space="preserve"> </w:t>
      </w:r>
      <w:r w:rsidR="006725F1" w:rsidRPr="006725F1">
        <w:rPr>
          <w:b/>
        </w:rPr>
        <w:t xml:space="preserve">великого </w:t>
      </w:r>
      <w:proofErr w:type="spellStart"/>
      <w:r w:rsidR="006725F1" w:rsidRPr="006725F1">
        <w:rPr>
          <w:b/>
        </w:rPr>
        <w:t>діаметру</w:t>
      </w:r>
      <w:proofErr w:type="spellEnd"/>
      <w:r w:rsidR="006725F1" w:rsidRPr="006725F1">
        <w:rPr>
          <w:b/>
        </w:rPr>
        <w:t xml:space="preserve"> </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475"/>
      </w:tblGrid>
      <w:tr w:rsidR="003354A4" w:rsidRPr="00E77074" w:rsidTr="0067610C">
        <w:tc>
          <w:tcPr>
            <w:tcW w:w="536"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 з/п</w:t>
            </w:r>
          </w:p>
        </w:tc>
        <w:tc>
          <w:tcPr>
            <w:tcW w:w="2656"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Характеристика/ параметр</w:t>
            </w:r>
          </w:p>
        </w:tc>
        <w:tc>
          <w:tcPr>
            <w:tcW w:w="6475"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Медико-технічні вимоги</w:t>
            </w:r>
          </w:p>
        </w:tc>
      </w:tr>
      <w:tr w:rsidR="003F10E1" w:rsidRPr="00E77074" w:rsidTr="0067610C">
        <w:tc>
          <w:tcPr>
            <w:tcW w:w="536" w:type="dxa"/>
            <w:shd w:val="clear" w:color="auto" w:fill="auto"/>
          </w:tcPr>
          <w:p w:rsidR="003F10E1" w:rsidRPr="00E77074" w:rsidRDefault="003F10E1" w:rsidP="003F10E1">
            <w:pPr>
              <w:jc w:val="center"/>
            </w:pPr>
            <w:r w:rsidRPr="00E77074">
              <w:t>1</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 xml:space="preserve">Показання до </w:t>
            </w:r>
            <w:r w:rsidRPr="003674AB">
              <w:rPr>
                <w:rFonts w:ascii="Times New Roman" w:hAnsi="Times New Roman"/>
                <w:sz w:val="24"/>
                <w:szCs w:val="24"/>
              </w:rPr>
              <w:lastRenderedPageBreak/>
              <w:t>застосування</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lastRenderedPageBreak/>
              <w:t xml:space="preserve">Для реконструкції судин складної анатомічної будови при </w:t>
            </w:r>
            <w:proofErr w:type="spellStart"/>
            <w:r w:rsidRPr="003674AB">
              <w:rPr>
                <w:rFonts w:ascii="Times New Roman" w:hAnsi="Times New Roman"/>
                <w:sz w:val="24"/>
                <w:szCs w:val="24"/>
              </w:rPr>
              <w:lastRenderedPageBreak/>
              <w:t>емболізації</w:t>
            </w:r>
            <w:proofErr w:type="spellEnd"/>
            <w:r w:rsidRPr="003674AB">
              <w:rPr>
                <w:rFonts w:ascii="Times New Roman" w:hAnsi="Times New Roman"/>
                <w:sz w:val="24"/>
                <w:szCs w:val="24"/>
              </w:rPr>
              <w:t xml:space="preserve"> аневризм з широкою шийкою шляхом проведення крізь чарунку </w:t>
            </w:r>
            <w:proofErr w:type="spellStart"/>
            <w:r w:rsidRPr="003674AB">
              <w:rPr>
                <w:rFonts w:ascii="Times New Roman" w:hAnsi="Times New Roman"/>
                <w:sz w:val="24"/>
                <w:szCs w:val="24"/>
              </w:rPr>
              <w:t>стента</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мікроспіпалей</w:t>
            </w:r>
            <w:proofErr w:type="spellEnd"/>
            <w:r w:rsidRPr="003674AB">
              <w:rPr>
                <w:rFonts w:ascii="Times New Roman" w:hAnsi="Times New Roman"/>
                <w:sz w:val="24"/>
                <w:szCs w:val="24"/>
              </w:rPr>
              <w:t xml:space="preserve">. </w:t>
            </w:r>
          </w:p>
        </w:tc>
      </w:tr>
      <w:tr w:rsidR="003F10E1" w:rsidRPr="00E77074" w:rsidTr="0067610C">
        <w:tc>
          <w:tcPr>
            <w:tcW w:w="536" w:type="dxa"/>
            <w:shd w:val="clear" w:color="auto" w:fill="auto"/>
          </w:tcPr>
          <w:p w:rsidR="003F10E1" w:rsidRPr="00E77074" w:rsidRDefault="003F10E1" w:rsidP="003F10E1">
            <w:pPr>
              <w:jc w:val="center"/>
            </w:pPr>
            <w:r w:rsidRPr="00E77074">
              <w:lastRenderedPageBreak/>
              <w:t>2</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Структура</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 xml:space="preserve">Структура </w:t>
            </w:r>
            <w:proofErr w:type="spellStart"/>
            <w:r w:rsidRPr="003674AB">
              <w:rPr>
                <w:rFonts w:ascii="Times New Roman" w:hAnsi="Times New Roman"/>
                <w:sz w:val="24"/>
                <w:szCs w:val="24"/>
              </w:rPr>
              <w:t>стенту</w:t>
            </w:r>
            <w:proofErr w:type="spellEnd"/>
            <w:r w:rsidRPr="003674AB">
              <w:rPr>
                <w:rFonts w:ascii="Times New Roman" w:hAnsi="Times New Roman"/>
                <w:sz w:val="24"/>
                <w:szCs w:val="24"/>
              </w:rPr>
              <w:t xml:space="preserve"> повинна забезпечувати підвищену гнучкість по довжині та відмінну </w:t>
            </w:r>
            <w:proofErr w:type="spellStart"/>
            <w:r w:rsidRPr="003674AB">
              <w:rPr>
                <w:rFonts w:ascii="Times New Roman" w:hAnsi="Times New Roman"/>
                <w:sz w:val="24"/>
                <w:szCs w:val="24"/>
              </w:rPr>
              <w:t>проходимість</w:t>
            </w:r>
            <w:proofErr w:type="spellEnd"/>
            <w:r w:rsidRPr="003674AB">
              <w:rPr>
                <w:rFonts w:ascii="Times New Roman" w:hAnsi="Times New Roman"/>
                <w:sz w:val="24"/>
                <w:szCs w:val="24"/>
              </w:rPr>
              <w:t xml:space="preserve"> по звивистих та тонких судинах для можливості їх реконструкції, для чого стент повинен бути плетений з цільного дроту.</w:t>
            </w:r>
          </w:p>
        </w:tc>
      </w:tr>
      <w:tr w:rsidR="003F10E1" w:rsidRPr="00E77074" w:rsidTr="0067610C">
        <w:tc>
          <w:tcPr>
            <w:tcW w:w="536" w:type="dxa"/>
            <w:shd w:val="clear" w:color="auto" w:fill="auto"/>
          </w:tcPr>
          <w:p w:rsidR="003F10E1" w:rsidRPr="00E77074" w:rsidRDefault="003F10E1" w:rsidP="003F10E1">
            <w:pPr>
              <w:jc w:val="center"/>
            </w:pPr>
            <w:r w:rsidRPr="00E77074">
              <w:t>3</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Матеріал виробу</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Нітинол</w:t>
            </w:r>
          </w:p>
        </w:tc>
      </w:tr>
      <w:tr w:rsidR="003F10E1" w:rsidRPr="00E77074" w:rsidTr="0067610C">
        <w:tc>
          <w:tcPr>
            <w:tcW w:w="536" w:type="dxa"/>
            <w:shd w:val="clear" w:color="auto" w:fill="auto"/>
          </w:tcPr>
          <w:p w:rsidR="003F10E1" w:rsidRPr="00E77074" w:rsidRDefault="003F10E1" w:rsidP="003F10E1">
            <w:pPr>
              <w:jc w:val="center"/>
            </w:pPr>
            <w:r>
              <w:t>4</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Принцип розкривання</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 xml:space="preserve">Має бути </w:t>
            </w:r>
            <w:proofErr w:type="spellStart"/>
            <w:r w:rsidRPr="003674AB">
              <w:rPr>
                <w:rFonts w:ascii="Times New Roman" w:hAnsi="Times New Roman"/>
                <w:sz w:val="24"/>
                <w:szCs w:val="24"/>
              </w:rPr>
              <w:t>саморозкриваючимся</w:t>
            </w:r>
            <w:proofErr w:type="spellEnd"/>
            <w:r w:rsidRPr="003674AB">
              <w:rPr>
                <w:rFonts w:ascii="Times New Roman" w:hAnsi="Times New Roman"/>
                <w:sz w:val="24"/>
                <w:szCs w:val="24"/>
              </w:rPr>
              <w:t xml:space="preserve"> при вивільненні з тубуса</w:t>
            </w:r>
          </w:p>
        </w:tc>
      </w:tr>
      <w:tr w:rsidR="003F10E1" w:rsidRPr="00E77074" w:rsidTr="0067610C">
        <w:tc>
          <w:tcPr>
            <w:tcW w:w="536" w:type="dxa"/>
            <w:shd w:val="clear" w:color="auto" w:fill="auto"/>
          </w:tcPr>
          <w:p w:rsidR="003F10E1" w:rsidRPr="00E77074" w:rsidRDefault="003F10E1" w:rsidP="003F10E1">
            <w:pPr>
              <w:jc w:val="center"/>
            </w:pPr>
            <w:r>
              <w:t>5</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Діапазон застосування по діаметру судин</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 xml:space="preserve">Розмірний ряд повинен давати можливість реконструкції судин в діапазоні діаметрів від 1,5 мм до 6,5 мм </w:t>
            </w:r>
          </w:p>
        </w:tc>
      </w:tr>
      <w:tr w:rsidR="003F10E1" w:rsidRPr="00E77074" w:rsidTr="0067610C">
        <w:tc>
          <w:tcPr>
            <w:tcW w:w="536" w:type="dxa"/>
            <w:shd w:val="clear" w:color="auto" w:fill="auto"/>
          </w:tcPr>
          <w:p w:rsidR="003F10E1" w:rsidRDefault="003F10E1" w:rsidP="003F10E1">
            <w:pPr>
              <w:jc w:val="center"/>
            </w:pPr>
            <w:r>
              <w:t>6</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Довжина стентів</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Наявність вибору довжини від 12 мм до 75 мм.</w:t>
            </w:r>
          </w:p>
        </w:tc>
      </w:tr>
      <w:tr w:rsidR="003F10E1" w:rsidRPr="00E77074" w:rsidTr="0067610C">
        <w:tc>
          <w:tcPr>
            <w:tcW w:w="536" w:type="dxa"/>
            <w:shd w:val="clear" w:color="auto" w:fill="auto"/>
          </w:tcPr>
          <w:p w:rsidR="003F10E1" w:rsidRDefault="003F10E1" w:rsidP="003F10E1">
            <w:pPr>
              <w:jc w:val="center"/>
            </w:pPr>
            <w:r>
              <w:t>7</w:t>
            </w:r>
          </w:p>
        </w:tc>
        <w:tc>
          <w:tcPr>
            <w:tcW w:w="2656"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Спеціальні можливості при встановленні стента</w:t>
            </w:r>
          </w:p>
        </w:tc>
        <w:tc>
          <w:tcPr>
            <w:tcW w:w="6475" w:type="dxa"/>
            <w:shd w:val="clear" w:color="auto" w:fill="auto"/>
          </w:tcPr>
          <w:p w:rsidR="003F10E1" w:rsidRPr="003674AB" w:rsidRDefault="003F10E1" w:rsidP="003F10E1">
            <w:pPr>
              <w:pStyle w:val="a7"/>
              <w:spacing w:line="276" w:lineRule="auto"/>
              <w:rPr>
                <w:rFonts w:ascii="Times New Roman" w:hAnsi="Times New Roman"/>
                <w:sz w:val="24"/>
                <w:szCs w:val="24"/>
              </w:rPr>
            </w:pPr>
            <w:r w:rsidRPr="003674AB">
              <w:rPr>
                <w:rFonts w:ascii="Times New Roman" w:hAnsi="Times New Roman"/>
                <w:sz w:val="24"/>
                <w:szCs w:val="24"/>
              </w:rPr>
              <w:t xml:space="preserve">Можливість </w:t>
            </w:r>
            <w:proofErr w:type="spellStart"/>
            <w:r w:rsidRPr="003674AB">
              <w:rPr>
                <w:rFonts w:ascii="Times New Roman" w:hAnsi="Times New Roman"/>
                <w:sz w:val="24"/>
                <w:szCs w:val="24"/>
              </w:rPr>
              <w:t>репозиціонування</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стенту</w:t>
            </w:r>
            <w:proofErr w:type="spellEnd"/>
            <w:r w:rsidRPr="003674AB">
              <w:rPr>
                <w:rFonts w:ascii="Times New Roman" w:hAnsi="Times New Roman"/>
                <w:sz w:val="24"/>
                <w:szCs w:val="24"/>
              </w:rPr>
              <w:t xml:space="preserve"> після його розкриття до 90% для корекції місця остаточного встановлення в судині.</w:t>
            </w:r>
          </w:p>
        </w:tc>
      </w:tr>
      <w:tr w:rsidR="00EC6CA4" w:rsidRPr="00E77074" w:rsidTr="0067610C">
        <w:tc>
          <w:tcPr>
            <w:tcW w:w="536" w:type="dxa"/>
            <w:shd w:val="clear" w:color="auto" w:fill="auto"/>
          </w:tcPr>
          <w:p w:rsidR="00EC6CA4" w:rsidRDefault="00EC6CA4" w:rsidP="00EC6CA4">
            <w:pPr>
              <w:jc w:val="center"/>
            </w:pPr>
            <w:r>
              <w:t>8</w:t>
            </w:r>
          </w:p>
        </w:tc>
        <w:tc>
          <w:tcPr>
            <w:tcW w:w="2656" w:type="dxa"/>
            <w:shd w:val="clear" w:color="auto" w:fill="auto"/>
          </w:tcPr>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Відповідність діаметрів судин що підлягають реконструкцій діаметрам </w:t>
            </w:r>
            <w:proofErr w:type="spellStart"/>
            <w:r w:rsidRPr="003674AB">
              <w:rPr>
                <w:rFonts w:ascii="Times New Roman" w:hAnsi="Times New Roman"/>
                <w:sz w:val="24"/>
                <w:szCs w:val="24"/>
              </w:rPr>
              <w:t>доставляючих</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мікрокатетерів</w:t>
            </w:r>
            <w:proofErr w:type="spellEnd"/>
          </w:p>
        </w:tc>
        <w:tc>
          <w:tcPr>
            <w:tcW w:w="6475" w:type="dxa"/>
            <w:shd w:val="clear" w:color="auto" w:fill="auto"/>
          </w:tcPr>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Діаметри </w:t>
            </w:r>
            <w:proofErr w:type="spellStart"/>
            <w:r w:rsidRPr="003674AB">
              <w:rPr>
                <w:rFonts w:ascii="Times New Roman" w:hAnsi="Times New Roman"/>
                <w:sz w:val="24"/>
                <w:szCs w:val="24"/>
              </w:rPr>
              <w:t>доставляючих</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мікрокатетерів</w:t>
            </w:r>
            <w:proofErr w:type="spellEnd"/>
            <w:r w:rsidRPr="003674AB">
              <w:rPr>
                <w:rFonts w:ascii="Times New Roman" w:hAnsi="Times New Roman"/>
                <w:sz w:val="24"/>
                <w:szCs w:val="24"/>
              </w:rPr>
              <w:t xml:space="preserve"> не </w:t>
            </w:r>
            <w:proofErr w:type="spellStart"/>
            <w:r w:rsidRPr="003674AB">
              <w:rPr>
                <w:rFonts w:ascii="Times New Roman" w:hAnsi="Times New Roman"/>
                <w:sz w:val="24"/>
                <w:szCs w:val="24"/>
              </w:rPr>
              <w:t>повинені</w:t>
            </w:r>
            <w:proofErr w:type="spellEnd"/>
            <w:r w:rsidRPr="003674AB">
              <w:rPr>
                <w:rFonts w:ascii="Times New Roman" w:hAnsi="Times New Roman"/>
                <w:sz w:val="24"/>
                <w:szCs w:val="24"/>
              </w:rPr>
              <w:t xml:space="preserve"> перевищувати наступні значення:</w:t>
            </w:r>
          </w:p>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Для судин діаметром до 3 мм – </w:t>
            </w:r>
            <w:proofErr w:type="spellStart"/>
            <w:r w:rsidRPr="003674AB">
              <w:rPr>
                <w:rFonts w:ascii="Times New Roman" w:hAnsi="Times New Roman"/>
                <w:sz w:val="24"/>
                <w:szCs w:val="24"/>
              </w:rPr>
              <w:t>дістальнийльний</w:t>
            </w:r>
            <w:proofErr w:type="spellEnd"/>
            <w:r w:rsidRPr="003674AB">
              <w:rPr>
                <w:rFonts w:ascii="Times New Roman" w:hAnsi="Times New Roman"/>
                <w:sz w:val="24"/>
                <w:szCs w:val="24"/>
              </w:rPr>
              <w:t xml:space="preserve"> діаметр </w:t>
            </w:r>
            <w:proofErr w:type="spellStart"/>
            <w:r w:rsidRPr="003674AB">
              <w:rPr>
                <w:rFonts w:ascii="Times New Roman" w:hAnsi="Times New Roman"/>
                <w:sz w:val="24"/>
                <w:szCs w:val="24"/>
              </w:rPr>
              <w:t>мікрокатетера</w:t>
            </w:r>
            <w:proofErr w:type="spellEnd"/>
            <w:r w:rsidRPr="003674AB">
              <w:rPr>
                <w:rFonts w:ascii="Times New Roman" w:hAnsi="Times New Roman"/>
                <w:sz w:val="24"/>
                <w:szCs w:val="24"/>
              </w:rPr>
              <w:t xml:space="preserve"> не повинен перевищувати 1,8 F;</w:t>
            </w:r>
          </w:p>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Для судин діаметром до 4,25 мм - діаметр </w:t>
            </w:r>
            <w:proofErr w:type="spellStart"/>
            <w:r w:rsidRPr="003674AB">
              <w:rPr>
                <w:rFonts w:ascii="Times New Roman" w:hAnsi="Times New Roman"/>
                <w:sz w:val="24"/>
                <w:szCs w:val="24"/>
              </w:rPr>
              <w:t>доставляючого</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мікрокатетера</w:t>
            </w:r>
            <w:proofErr w:type="spellEnd"/>
            <w:r w:rsidRPr="003674AB">
              <w:rPr>
                <w:rFonts w:ascii="Times New Roman" w:hAnsi="Times New Roman"/>
                <w:sz w:val="24"/>
                <w:szCs w:val="24"/>
              </w:rPr>
              <w:t xml:space="preserve"> не повинен перевищувати 2,4 F;</w:t>
            </w:r>
          </w:p>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Для судин діаметром 5,3 мм - діаметр </w:t>
            </w:r>
            <w:proofErr w:type="spellStart"/>
            <w:r w:rsidRPr="003674AB">
              <w:rPr>
                <w:rFonts w:ascii="Times New Roman" w:hAnsi="Times New Roman"/>
                <w:sz w:val="24"/>
                <w:szCs w:val="24"/>
              </w:rPr>
              <w:t>доставляючого</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мікрокатетера</w:t>
            </w:r>
            <w:proofErr w:type="spellEnd"/>
            <w:r w:rsidRPr="003674AB">
              <w:rPr>
                <w:rFonts w:ascii="Times New Roman" w:hAnsi="Times New Roman"/>
                <w:sz w:val="24"/>
                <w:szCs w:val="24"/>
              </w:rPr>
              <w:t xml:space="preserve"> не повинен перевищувати 3,0 F;</w:t>
            </w:r>
          </w:p>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Для судин діаметром 6,5 мм - діаметр </w:t>
            </w:r>
            <w:proofErr w:type="spellStart"/>
            <w:r w:rsidRPr="003674AB">
              <w:rPr>
                <w:rFonts w:ascii="Times New Roman" w:hAnsi="Times New Roman"/>
                <w:sz w:val="24"/>
                <w:szCs w:val="24"/>
              </w:rPr>
              <w:t>доставляючого</w:t>
            </w:r>
            <w:proofErr w:type="spellEnd"/>
            <w:r w:rsidRPr="003674AB">
              <w:rPr>
                <w:rFonts w:ascii="Times New Roman" w:hAnsi="Times New Roman"/>
                <w:sz w:val="24"/>
                <w:szCs w:val="24"/>
              </w:rPr>
              <w:t xml:space="preserve"> </w:t>
            </w:r>
            <w:proofErr w:type="spellStart"/>
            <w:r w:rsidRPr="003674AB">
              <w:rPr>
                <w:rFonts w:ascii="Times New Roman" w:hAnsi="Times New Roman"/>
                <w:sz w:val="24"/>
                <w:szCs w:val="24"/>
              </w:rPr>
              <w:t>мікрокатетера</w:t>
            </w:r>
            <w:proofErr w:type="spellEnd"/>
            <w:r w:rsidRPr="003674AB">
              <w:rPr>
                <w:rFonts w:ascii="Times New Roman" w:hAnsi="Times New Roman"/>
                <w:sz w:val="24"/>
                <w:szCs w:val="24"/>
              </w:rPr>
              <w:t xml:space="preserve"> не повинен перевищувати 3,3 F</w:t>
            </w:r>
          </w:p>
        </w:tc>
      </w:tr>
      <w:tr w:rsidR="00EC6CA4" w:rsidRPr="00E77074" w:rsidTr="0067610C">
        <w:tc>
          <w:tcPr>
            <w:tcW w:w="536" w:type="dxa"/>
            <w:shd w:val="clear" w:color="auto" w:fill="auto"/>
          </w:tcPr>
          <w:p w:rsidR="00EC6CA4" w:rsidRDefault="00EC6CA4" w:rsidP="00EC6CA4">
            <w:pPr>
              <w:jc w:val="center"/>
            </w:pPr>
            <w:r>
              <w:t>9</w:t>
            </w:r>
          </w:p>
        </w:tc>
        <w:tc>
          <w:tcPr>
            <w:tcW w:w="2656" w:type="dxa"/>
            <w:shd w:val="clear" w:color="auto" w:fill="auto"/>
          </w:tcPr>
          <w:p w:rsidR="00EC6CA4" w:rsidRPr="003674AB" w:rsidRDefault="00EC6CA4" w:rsidP="00EC6CA4">
            <w:pPr>
              <w:pStyle w:val="a7"/>
              <w:spacing w:line="276" w:lineRule="auto"/>
              <w:rPr>
                <w:rFonts w:ascii="Times New Roman" w:hAnsi="Times New Roman"/>
                <w:sz w:val="24"/>
                <w:szCs w:val="24"/>
              </w:rPr>
            </w:pPr>
            <w:proofErr w:type="spellStart"/>
            <w:r w:rsidRPr="003674AB">
              <w:rPr>
                <w:rFonts w:ascii="Times New Roman" w:hAnsi="Times New Roman"/>
                <w:sz w:val="24"/>
                <w:szCs w:val="24"/>
              </w:rPr>
              <w:t>Рентгеноконтрастність</w:t>
            </w:r>
            <w:proofErr w:type="spellEnd"/>
          </w:p>
        </w:tc>
        <w:tc>
          <w:tcPr>
            <w:tcW w:w="6475" w:type="dxa"/>
            <w:shd w:val="clear" w:color="auto" w:fill="auto"/>
          </w:tcPr>
          <w:p w:rsidR="00EC6CA4" w:rsidRPr="003674AB" w:rsidRDefault="00EC6CA4" w:rsidP="00EC6CA4">
            <w:pPr>
              <w:pStyle w:val="a7"/>
              <w:spacing w:line="276" w:lineRule="auto"/>
              <w:rPr>
                <w:rFonts w:ascii="Times New Roman" w:hAnsi="Times New Roman"/>
                <w:sz w:val="24"/>
                <w:szCs w:val="24"/>
              </w:rPr>
            </w:pPr>
            <w:r w:rsidRPr="003674AB">
              <w:rPr>
                <w:rFonts w:ascii="Times New Roman" w:hAnsi="Times New Roman"/>
                <w:sz w:val="24"/>
                <w:szCs w:val="24"/>
              </w:rPr>
              <w:t xml:space="preserve">Виріб повинен мати вплетені </w:t>
            </w:r>
            <w:proofErr w:type="spellStart"/>
            <w:r w:rsidRPr="003674AB">
              <w:rPr>
                <w:rFonts w:ascii="Times New Roman" w:hAnsi="Times New Roman"/>
                <w:sz w:val="24"/>
                <w:szCs w:val="24"/>
              </w:rPr>
              <w:t>рентгеноконтрастні</w:t>
            </w:r>
            <w:proofErr w:type="spellEnd"/>
            <w:r w:rsidRPr="003674AB">
              <w:rPr>
                <w:rFonts w:ascii="Times New Roman" w:hAnsi="Times New Roman"/>
                <w:sz w:val="24"/>
                <w:szCs w:val="24"/>
              </w:rPr>
              <w:t xml:space="preserve"> дроти, які дозволяють добре контролювати положення та форму всього </w:t>
            </w:r>
            <w:proofErr w:type="spellStart"/>
            <w:r w:rsidRPr="003674AB">
              <w:rPr>
                <w:rFonts w:ascii="Times New Roman" w:hAnsi="Times New Roman"/>
                <w:sz w:val="24"/>
                <w:szCs w:val="24"/>
              </w:rPr>
              <w:t>стенту</w:t>
            </w:r>
            <w:proofErr w:type="spellEnd"/>
            <w:r w:rsidRPr="003674AB">
              <w:rPr>
                <w:rFonts w:ascii="Times New Roman" w:hAnsi="Times New Roman"/>
                <w:sz w:val="24"/>
                <w:szCs w:val="24"/>
              </w:rPr>
              <w:t xml:space="preserve"> в судині.</w:t>
            </w:r>
          </w:p>
        </w:tc>
      </w:tr>
    </w:tbl>
    <w:p w:rsidR="003354A4" w:rsidRPr="00E77074" w:rsidRDefault="003354A4" w:rsidP="003354A4">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 xml:space="preserve">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w:t>
      </w:r>
      <w:r w:rsidRPr="007D39D6">
        <w:rPr>
          <w:bCs/>
        </w:rPr>
        <w:lastRenderedPageBreak/>
        <w:t>(настанови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F231B5" w:rsidP="009F7C28"/>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5F"/>
    <w:multiLevelType w:val="hybridMultilevel"/>
    <w:tmpl w:val="1EC28434"/>
    <w:lvl w:ilvl="0" w:tplc="734E097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185577"/>
    <w:rsid w:val="00281656"/>
    <w:rsid w:val="00333D8C"/>
    <w:rsid w:val="003354A4"/>
    <w:rsid w:val="00350DA1"/>
    <w:rsid w:val="003F10E1"/>
    <w:rsid w:val="003F1CFB"/>
    <w:rsid w:val="004A1779"/>
    <w:rsid w:val="005112C6"/>
    <w:rsid w:val="005D72B6"/>
    <w:rsid w:val="006570EA"/>
    <w:rsid w:val="006725F1"/>
    <w:rsid w:val="0067610C"/>
    <w:rsid w:val="006C0DAB"/>
    <w:rsid w:val="007C69FE"/>
    <w:rsid w:val="007D2531"/>
    <w:rsid w:val="008163E4"/>
    <w:rsid w:val="00822BFD"/>
    <w:rsid w:val="00952B9E"/>
    <w:rsid w:val="009825A1"/>
    <w:rsid w:val="009A34A6"/>
    <w:rsid w:val="009A5D77"/>
    <w:rsid w:val="009F2F06"/>
    <w:rsid w:val="009F7C28"/>
    <w:rsid w:val="00A44B77"/>
    <w:rsid w:val="00C13D2D"/>
    <w:rsid w:val="00C74EA2"/>
    <w:rsid w:val="00C77289"/>
    <w:rsid w:val="00C865A2"/>
    <w:rsid w:val="00D87B5F"/>
    <w:rsid w:val="00DD5480"/>
    <w:rsid w:val="00DE6533"/>
    <w:rsid w:val="00E1060B"/>
    <w:rsid w:val="00E77074"/>
    <w:rsid w:val="00EC6CA4"/>
    <w:rsid w:val="00ED7CC8"/>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character" w:customStyle="1" w:styleId="normalchar">
    <w:name w:val="normal__char"/>
    <w:basedOn w:val="a0"/>
    <w:rsid w:val="003354A4"/>
  </w:style>
  <w:style w:type="paragraph" w:styleId="2">
    <w:name w:val="Body Text Indent 2"/>
    <w:basedOn w:val="a"/>
    <w:link w:val="20"/>
    <w:rsid w:val="0067610C"/>
    <w:pPr>
      <w:widowControl w:val="0"/>
      <w:autoSpaceDE w:val="0"/>
      <w:autoSpaceDN w:val="0"/>
      <w:adjustRightInd w:val="0"/>
      <w:spacing w:after="120" w:line="480" w:lineRule="auto"/>
      <w:ind w:left="283"/>
    </w:pPr>
    <w:rPr>
      <w:rFonts w:ascii="Times New Roman CYR" w:hAnsi="Times New Roman CYR"/>
      <w:lang/>
    </w:rPr>
  </w:style>
  <w:style w:type="character" w:customStyle="1" w:styleId="20">
    <w:name w:val="Основной текст с отступом 2 Знак"/>
    <w:basedOn w:val="a0"/>
    <w:link w:val="2"/>
    <w:rsid w:val="0067610C"/>
    <w:rPr>
      <w:rFonts w:ascii="Times New Roman CYR" w:eastAsia="Times New Roman" w:hAnsi="Times New Roman CYR" w:cs="Times New Roman"/>
      <w:sz w:val="24"/>
      <w:szCs w:val="24"/>
      <w:lang/>
    </w:rPr>
  </w:style>
  <w:style w:type="paragraph" w:styleId="a7">
    <w:name w:val="No Spacing"/>
    <w:link w:val="a8"/>
    <w:uiPriority w:val="99"/>
    <w:qFormat/>
    <w:rsid w:val="0067610C"/>
    <w:pPr>
      <w:spacing w:after="0" w:line="240" w:lineRule="auto"/>
    </w:pPr>
    <w:rPr>
      <w:rFonts w:ascii="Calibri" w:eastAsia="Calibri" w:hAnsi="Calibri" w:cs="Times New Roman"/>
      <w:lang w:val="uk-UA"/>
    </w:rPr>
  </w:style>
  <w:style w:type="character" w:customStyle="1" w:styleId="a8">
    <w:name w:val="Без интервала Знак"/>
    <w:link w:val="a7"/>
    <w:uiPriority w:val="99"/>
    <w:rsid w:val="0067610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26</cp:revision>
  <dcterms:created xsi:type="dcterms:W3CDTF">2023-11-23T10:52:00Z</dcterms:created>
  <dcterms:modified xsi:type="dcterms:W3CDTF">2024-04-15T13:07:00Z</dcterms:modified>
</cp:coreProperties>
</file>