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B4641B">
              <w:rPr>
                <w:rFonts w:ascii="Times New Roman" w:hAnsi="Times New Roman" w:cs="Times New Roman"/>
                <w:b/>
                <w:sz w:val="24"/>
                <w:szCs w:val="24"/>
              </w:rPr>
              <w:t>4</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 xml:space="preserve">стачальник зобов'язується у </w:t>
      </w:r>
      <w:r w:rsidR="00B4641B">
        <w:t>2024</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B5096D" w:rsidRDefault="00875904" w:rsidP="00B5096D">
      <w:pPr>
        <w:tabs>
          <w:tab w:val="left" w:pos="993"/>
        </w:tab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sidRPr="00595E02">
        <w:rPr>
          <w:rFonts w:ascii="Times New Roman" w:hAnsi="Times New Roman"/>
          <w:sz w:val="24"/>
          <w:szCs w:val="24"/>
        </w:rPr>
        <w:t xml:space="preserve">Загальний </w:t>
      </w:r>
      <w:r w:rsidR="00B5096D" w:rsidRPr="0051419F">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p>
    <w:p w:rsidR="00DF66DD" w:rsidRPr="00B21757" w:rsidRDefault="00DF66DD" w:rsidP="00B5096D">
      <w:pPr>
        <w:tabs>
          <w:tab w:val="left" w:pos="993"/>
        </w:tabs>
        <w:spacing w:after="0" w:line="240" w:lineRule="auto"/>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w:t>
      </w:r>
      <w:r w:rsidR="008340C1">
        <w:rPr>
          <w:rFonts w:ascii="Times New Roman" w:hAnsi="Times New Roman" w:cs="Times New Roman"/>
          <w:sz w:val="24"/>
          <w:szCs w:val="24"/>
        </w:rPr>
        <w:t xml:space="preserve">нна повністю забезпечувати його </w:t>
      </w:r>
      <w:r w:rsidRPr="00B21757">
        <w:rPr>
          <w:rFonts w:ascii="Times New Roman" w:hAnsi="Times New Roman" w:cs="Times New Roman"/>
          <w:sz w:val="24"/>
          <w:szCs w:val="24"/>
        </w:rPr>
        <w:t>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w:t>
      </w:r>
      <w:r w:rsidR="00B4641B">
        <w:rPr>
          <w:rFonts w:ascii="Times New Roman" w:eastAsia="Times New Roman" w:hAnsi="Times New Roman" w:cs="Times New Roman"/>
          <w:sz w:val="24"/>
          <w:szCs w:val="24"/>
        </w:rPr>
        <w:t>узгодженого між Покупцем і Постачальником графіку поставок</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w:t>
      </w:r>
      <w:r w:rsidR="00B4641B">
        <w:rPr>
          <w:rFonts w:ascii="Times New Roman" w:eastAsia="Times New Roman" w:hAnsi="Times New Roman" w:cs="Times New Roman"/>
          <w:sz w:val="24"/>
          <w:szCs w:val="24"/>
        </w:rPr>
        <w:t>2024</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w:t>
      </w:r>
      <w:r w:rsidRPr="00DA25E5">
        <w:rPr>
          <w:rFonts w:ascii="Times New Roman" w:hAnsi="Times New Roman" w:cs="Times New Roman"/>
          <w:sz w:val="24"/>
          <w:szCs w:val="24"/>
        </w:rPr>
        <w:t xml:space="preserve">товару – </w:t>
      </w:r>
      <w:r w:rsidRPr="00DA25E5">
        <w:rPr>
          <w:rFonts w:ascii="Times New Roman" w:hAnsi="Times New Roman" w:cs="Times New Roman"/>
          <w:b/>
          <w:sz w:val="24"/>
          <w:szCs w:val="24"/>
        </w:rPr>
        <w:t>Україна, 790</w:t>
      </w:r>
      <w:r w:rsidR="00F41A8D" w:rsidRPr="00DA25E5">
        <w:rPr>
          <w:rFonts w:ascii="Times New Roman" w:hAnsi="Times New Roman" w:cs="Times New Roman"/>
          <w:b/>
          <w:sz w:val="24"/>
          <w:szCs w:val="24"/>
        </w:rPr>
        <w:t>57</w:t>
      </w:r>
      <w:r w:rsidRPr="00DA25E5">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w:t>
      </w:r>
      <w:r w:rsidRPr="00B0421A">
        <w:rPr>
          <w:rFonts w:ascii="Times New Roman" w:hAnsi="Times New Roman" w:cs="Times New Roman"/>
          <w:sz w:val="24"/>
          <w:szCs w:val="24"/>
        </w:rPr>
        <w:lastRenderedPageBreak/>
        <w:t>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w:t>
      </w:r>
      <w:r w:rsidR="00B4641B">
        <w:rPr>
          <w:rFonts w:ascii="Times New Roman" w:eastAsia="Times New Roman" w:hAnsi="Times New Roman" w:cs="Times New Roman"/>
          <w:sz w:val="24"/>
          <w:szCs w:val="24"/>
        </w:rPr>
        <w:t>2024</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881222"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беззміни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eastAsia="Droid Sans" w:hAnsi="Times New Roman" w:cs="Times New Roman"/>
                <w:sz w:val="24"/>
                <w:szCs w:val="24"/>
                <w:lang w:eastAsia="zh-CN" w:bidi="hi-IN"/>
              </w:rPr>
            </w:pPr>
            <w:bookmarkStart w:id="1" w:name="_Hlk131253382"/>
            <w:r w:rsidRPr="005B62A8">
              <w:rPr>
                <w:rFonts w:ascii="Times New Roman" w:hAnsi="Times New Roman" w:cs="Times New Roman"/>
                <w:sz w:val="24"/>
                <w:szCs w:val="24"/>
              </w:rPr>
              <w:lastRenderedPageBreak/>
              <w:t>IBAN:</w:t>
            </w:r>
            <w:bookmarkEnd w:id="1"/>
            <w:r w:rsidRPr="005B62A8">
              <w:rPr>
                <w:rFonts w:ascii="Times New Roman" w:hAnsi="Times New Roman" w:cs="Times New Roman"/>
                <w:color w:val="000000"/>
                <w:sz w:val="24"/>
                <w:szCs w:val="24"/>
                <w:shd w:val="clear" w:color="auto" w:fill="FFFFFF"/>
              </w:rPr>
              <w:t>UA</w:t>
            </w:r>
            <w:bookmarkStart w:id="2" w:name="_GoBack"/>
            <w:bookmarkEnd w:id="2"/>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w:t>
      </w:r>
      <w:r w:rsidR="00B4641B">
        <w:rPr>
          <w:rFonts w:ascii="Times New Roman" w:hAnsi="Times New Roman" w:cs="Times New Roman"/>
          <w:b/>
          <w:sz w:val="24"/>
          <w:szCs w:val="24"/>
        </w:rPr>
        <w:t>2024</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87152">
        <w:rPr>
          <w:rFonts w:ascii="Times New Roman" w:hAnsi="Times New Roman" w:cs="Times New Roman"/>
          <w:b/>
          <w:sz w:val="24"/>
          <w:szCs w:val="24"/>
        </w:rPr>
        <w:t>СПЕЦИФІКАЦІЯ</w:t>
      </w:r>
    </w:p>
    <w:bookmarkEnd w:id="3"/>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lastRenderedPageBreak/>
              <w:t xml:space="preserve">e-mail: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00000001" w:usb1="00000000" w:usb2="00000000" w:usb3="00000000" w:csb0="000001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4"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8"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9"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6"/>
  </w:num>
  <w:num w:numId="5">
    <w:abstractNumId w:val="0"/>
  </w:num>
  <w:num w:numId="6">
    <w:abstractNumId w:val="8"/>
  </w:num>
  <w:num w:numId="7">
    <w:abstractNumId w:val="5"/>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324C5A"/>
    <w:rsid w:val="00342B97"/>
    <w:rsid w:val="00345AB4"/>
    <w:rsid w:val="003826CD"/>
    <w:rsid w:val="00385D84"/>
    <w:rsid w:val="00483DCF"/>
    <w:rsid w:val="004E36C8"/>
    <w:rsid w:val="005228C3"/>
    <w:rsid w:val="005510EF"/>
    <w:rsid w:val="00581349"/>
    <w:rsid w:val="005B62A8"/>
    <w:rsid w:val="005F3B76"/>
    <w:rsid w:val="0063241D"/>
    <w:rsid w:val="006368AB"/>
    <w:rsid w:val="0068107F"/>
    <w:rsid w:val="006B1B98"/>
    <w:rsid w:val="007324E0"/>
    <w:rsid w:val="007757FC"/>
    <w:rsid w:val="0079155F"/>
    <w:rsid w:val="00804BC2"/>
    <w:rsid w:val="008318C0"/>
    <w:rsid w:val="008340C1"/>
    <w:rsid w:val="00841C6A"/>
    <w:rsid w:val="00875904"/>
    <w:rsid w:val="00881222"/>
    <w:rsid w:val="0089012A"/>
    <w:rsid w:val="008E097E"/>
    <w:rsid w:val="009035D5"/>
    <w:rsid w:val="00925854"/>
    <w:rsid w:val="009359CE"/>
    <w:rsid w:val="00966CFD"/>
    <w:rsid w:val="009A761F"/>
    <w:rsid w:val="009C2A0E"/>
    <w:rsid w:val="00A26AF1"/>
    <w:rsid w:val="00AA3EEF"/>
    <w:rsid w:val="00AC39BC"/>
    <w:rsid w:val="00AF124B"/>
    <w:rsid w:val="00B21757"/>
    <w:rsid w:val="00B30A56"/>
    <w:rsid w:val="00B33235"/>
    <w:rsid w:val="00B4641B"/>
    <w:rsid w:val="00B5096D"/>
    <w:rsid w:val="00B6427F"/>
    <w:rsid w:val="00B66304"/>
    <w:rsid w:val="00B87152"/>
    <w:rsid w:val="00BD57BB"/>
    <w:rsid w:val="00C00E23"/>
    <w:rsid w:val="00C80656"/>
    <w:rsid w:val="00C9681A"/>
    <w:rsid w:val="00CC67D7"/>
    <w:rsid w:val="00CD70F3"/>
    <w:rsid w:val="00CF0CD7"/>
    <w:rsid w:val="00CF2DEF"/>
    <w:rsid w:val="00D62930"/>
    <w:rsid w:val="00D67F28"/>
    <w:rsid w:val="00D70F37"/>
    <w:rsid w:val="00D71C08"/>
    <w:rsid w:val="00DA25E5"/>
    <w:rsid w:val="00DD4E0A"/>
    <w:rsid w:val="00DF66DD"/>
    <w:rsid w:val="00E26369"/>
    <w:rsid w:val="00E57942"/>
    <w:rsid w:val="00E80F32"/>
    <w:rsid w:val="00E85603"/>
    <w:rsid w:val="00E97E4C"/>
    <w:rsid w:val="00EA42DD"/>
    <w:rsid w:val="00EA6501"/>
    <w:rsid w:val="00EC07CD"/>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62F9"/>
  <w15:docId w15:val="{DF85C769-BE20-454F-8924-B4633A1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18707</Words>
  <Characters>10663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6</cp:revision>
  <dcterms:created xsi:type="dcterms:W3CDTF">2023-07-19T11:12:00Z</dcterms:created>
  <dcterms:modified xsi:type="dcterms:W3CDTF">2024-02-19T13:49:00Z</dcterms:modified>
</cp:coreProperties>
</file>