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615440">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0B72BE">
        <w:rPr>
          <w:rFonts w:ascii="Times New Roman" w:hAnsi="Times New Roman" w:cs="Times New Roman"/>
          <w:bCs/>
          <w:spacing w:val="-1"/>
          <w:sz w:val="24"/>
          <w:szCs w:val="24"/>
        </w:rPr>
        <w:t xml:space="preserve">від </w:t>
      </w:r>
      <w:r w:rsidR="00B36E59">
        <w:rPr>
          <w:rFonts w:ascii="Times New Roman" w:hAnsi="Times New Roman" w:cs="Times New Roman"/>
          <w:bCs/>
          <w:spacing w:val="-1"/>
          <w:sz w:val="24"/>
          <w:szCs w:val="24"/>
          <w:lang w:val="en-US"/>
        </w:rPr>
        <w:t>22</w:t>
      </w:r>
      <w:r w:rsidR="00B36E59">
        <w:rPr>
          <w:rFonts w:ascii="Times New Roman" w:hAnsi="Times New Roman" w:cs="Times New Roman"/>
          <w:bCs/>
          <w:spacing w:val="-1"/>
          <w:sz w:val="24"/>
          <w:szCs w:val="24"/>
        </w:rPr>
        <w:t>.</w:t>
      </w:r>
      <w:r w:rsidR="00B36E59">
        <w:rPr>
          <w:rFonts w:ascii="Times New Roman" w:hAnsi="Times New Roman" w:cs="Times New Roman"/>
          <w:bCs/>
          <w:spacing w:val="-1"/>
          <w:sz w:val="24"/>
          <w:szCs w:val="24"/>
          <w:lang w:val="en-US"/>
        </w:rPr>
        <w:t>09</w:t>
      </w:r>
      <w:r w:rsidR="00B36E59">
        <w:rPr>
          <w:rFonts w:ascii="Times New Roman" w:hAnsi="Times New Roman" w:cs="Times New Roman"/>
          <w:bCs/>
          <w:spacing w:val="-1"/>
          <w:sz w:val="24"/>
          <w:szCs w:val="24"/>
        </w:rPr>
        <w:t>.</w:t>
      </w:r>
      <w:r w:rsidR="00B36E59">
        <w:rPr>
          <w:rFonts w:ascii="Times New Roman" w:hAnsi="Times New Roman" w:cs="Times New Roman"/>
          <w:bCs/>
          <w:spacing w:val="-1"/>
          <w:sz w:val="24"/>
          <w:szCs w:val="24"/>
          <w:lang w:val="en-US"/>
        </w:rPr>
        <w:t>2023</w:t>
      </w:r>
      <w:r w:rsidR="00C31E7A" w:rsidRPr="000B72BE">
        <w:rPr>
          <w:rFonts w:ascii="Times New Roman" w:hAnsi="Times New Roman" w:cs="Times New Roman"/>
          <w:bCs/>
          <w:spacing w:val="-1"/>
          <w:sz w:val="24"/>
          <w:szCs w:val="24"/>
        </w:rPr>
        <w:t>, протокол №</w:t>
      </w:r>
      <w:r w:rsidR="000B72BE" w:rsidRPr="000B72BE">
        <w:rPr>
          <w:rFonts w:ascii="Times New Roman" w:hAnsi="Times New Roman" w:cs="Times New Roman"/>
          <w:bCs/>
          <w:spacing w:val="-1"/>
          <w:sz w:val="24"/>
          <w:szCs w:val="24"/>
          <w:lang w:val="ru-RU"/>
        </w:rPr>
        <w:t xml:space="preserve"> </w:t>
      </w:r>
      <w:r w:rsidR="00B36E59">
        <w:rPr>
          <w:rFonts w:ascii="Times New Roman" w:hAnsi="Times New Roman" w:cs="Times New Roman"/>
          <w:bCs/>
          <w:spacing w:val="-1"/>
          <w:sz w:val="24"/>
          <w:szCs w:val="24"/>
        </w:rPr>
        <w:t>54</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29585D"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на закупівлю </w:t>
      </w:r>
      <w:proofErr w:type="spellStart"/>
      <w:r w:rsidR="0029585D">
        <w:rPr>
          <w:rFonts w:ascii="Times New Roman" w:eastAsia="Times New Roman" w:hAnsi="Times New Roman" w:cs="Times New Roman"/>
          <w:sz w:val="24"/>
          <w:szCs w:val="24"/>
          <w:lang w:val="en-US"/>
        </w:rPr>
        <w:t>послуг</w:t>
      </w:r>
      <w:proofErr w:type="spellEnd"/>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 xml:space="preserve">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
    <w:p w:rsidR="00615440" w:rsidRP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w:t>
      </w:r>
      <w:proofErr w:type="spellStart"/>
      <w:r w:rsidRPr="003B1273">
        <w:rPr>
          <w:rFonts w:ascii="Times New Roman" w:hAnsi="Times New Roman"/>
          <w:b/>
          <w:sz w:val="44"/>
          <w:szCs w:val="44"/>
        </w:rPr>
        <w:t>ДК</w:t>
      </w:r>
      <w:proofErr w:type="spellEnd"/>
      <w:r w:rsidRPr="003B1273">
        <w:rPr>
          <w:rFonts w:ascii="Times New Roman" w:hAnsi="Times New Roman"/>
          <w:b/>
          <w:sz w:val="44"/>
          <w:szCs w:val="44"/>
        </w:rPr>
        <w:t xml:space="preserve"> 021:2015:63120000-6: Послуги зберігання та складування)</w:t>
      </w:r>
    </w:p>
    <w:p w:rsidR="00615440" w:rsidRPr="003B1273" w:rsidRDefault="00615440" w:rsidP="00615440">
      <w:pPr>
        <w:spacing w:before="240" w:after="0" w:line="240" w:lineRule="auto"/>
        <w:jc w:val="center"/>
        <w:rPr>
          <w:rFonts w:ascii="Times New Roman" w:hAnsi="Times New Roman"/>
          <w:b/>
          <w:sz w:val="44"/>
          <w:szCs w:val="44"/>
        </w:rPr>
      </w:pPr>
      <w:r w:rsidRPr="003B1273">
        <w:rPr>
          <w:rFonts w:ascii="Times New Roman" w:hAnsi="Times New Roman"/>
          <w:b/>
          <w:sz w:val="44"/>
          <w:szCs w:val="4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2632D" w:rsidRPr="00F2632D" w:rsidRDefault="00153DF6" w:rsidP="00F2632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F2632D" w:rsidRPr="00F2632D">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5D4C59" w:rsidRPr="00F95400" w:rsidRDefault="00F2632D" w:rsidP="00F95400">
            <w:pPr>
              <w:jc w:val="both"/>
              <w:rPr>
                <w:rFonts w:ascii="Times New Roman" w:hAnsi="Times New Roman" w:cs="Times New Roman"/>
                <w:b/>
                <w:sz w:val="24"/>
                <w:szCs w:val="24"/>
              </w:rPr>
            </w:pPr>
            <w:r w:rsidRPr="00F80451">
              <w:rPr>
                <w:rFonts w:ascii="Times New Roman" w:hAnsi="Times New Roman" w:cs="Times New Roman"/>
                <w:b/>
                <w:sz w:val="24"/>
                <w:szCs w:val="24"/>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roofErr w:type="spellStart"/>
            <w:r w:rsidRPr="00F80451">
              <w:rPr>
                <w:rFonts w:ascii="Times New Roman" w:hAnsi="Times New Roman" w:cs="Times New Roman"/>
                <w:b/>
                <w:sz w:val="24"/>
                <w:szCs w:val="24"/>
              </w:rPr>
              <w:t>ДК</w:t>
            </w:r>
            <w:proofErr w:type="spellEnd"/>
            <w:r w:rsidRPr="00F80451">
              <w:rPr>
                <w:rFonts w:ascii="Times New Roman" w:hAnsi="Times New Roman" w:cs="Times New Roman"/>
                <w:b/>
                <w:sz w:val="24"/>
                <w:szCs w:val="24"/>
              </w:rPr>
              <w:t xml:space="preserve"> 021:2015:63120000-6: Послуги зберігання та складування)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w:t>
            </w:r>
            <w:r w:rsidR="001C4C33">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та місце </w:t>
            </w:r>
            <w:r w:rsidR="00910355">
              <w:rPr>
                <w:rFonts w:ascii="Times New Roman" w:eastAsia="Times New Roman" w:hAnsi="Times New Roman" w:cs="Times New Roman"/>
                <w:sz w:val="24"/>
                <w:szCs w:val="24"/>
              </w:rPr>
              <w:t>їх надання</w:t>
            </w:r>
            <w:r w:rsidRPr="004C5E51">
              <w:rPr>
                <w:rFonts w:ascii="Times New Roman" w:eastAsia="Times New Roman" w:hAnsi="Times New Roman" w:cs="Times New Roman"/>
                <w:sz w:val="24"/>
                <w:szCs w:val="24"/>
              </w:rPr>
              <w:t xml:space="preserve">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5D4C59" w:rsidRPr="00F95400"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Кількість: </w:t>
            </w:r>
            <w:r w:rsidR="00F95400" w:rsidRPr="00F95400">
              <w:rPr>
                <w:rFonts w:ascii="Times New Roman" w:eastAsia="Times New Roman" w:hAnsi="Times New Roman" w:cs="Times New Roman"/>
                <w:sz w:val="24"/>
                <w:szCs w:val="24"/>
              </w:rPr>
              <w:t>1 послуга</w:t>
            </w:r>
          </w:p>
          <w:p w:rsidR="005D4C59" w:rsidRDefault="005D4C59" w:rsidP="005D4C59">
            <w:pPr>
              <w:widowControl w:val="0"/>
              <w:ind w:right="120" w:firstLine="342"/>
              <w:jc w:val="both"/>
              <w:rPr>
                <w:rFonts w:ascii="Times New Roman" w:eastAsia="Times New Roman" w:hAnsi="Times New Roman" w:cs="Times New Roman"/>
                <w:b/>
                <w:sz w:val="24"/>
                <w:szCs w:val="24"/>
              </w:rPr>
            </w:pPr>
          </w:p>
          <w:p w:rsidR="00F937E7" w:rsidRPr="004C5E51"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Місце </w:t>
            </w:r>
            <w:r w:rsidR="00814559">
              <w:rPr>
                <w:rFonts w:ascii="Times New Roman" w:eastAsia="Times New Roman" w:hAnsi="Times New Roman" w:cs="Times New Roman"/>
                <w:b/>
                <w:sz w:val="24"/>
                <w:szCs w:val="24"/>
              </w:rPr>
              <w:t>надання послуг</w:t>
            </w:r>
            <w:r w:rsidRPr="004C5E51">
              <w:rPr>
                <w:rFonts w:ascii="Times New Roman" w:eastAsia="Times New Roman" w:hAnsi="Times New Roman" w:cs="Times New Roman"/>
                <w:b/>
                <w:sz w:val="24"/>
                <w:szCs w:val="24"/>
              </w:rPr>
              <w:t>:</w:t>
            </w:r>
            <w:r w:rsidRPr="004C5E51">
              <w:rPr>
                <w:rFonts w:ascii="Times New Roman" w:eastAsia="Times New Roman" w:hAnsi="Times New Roman" w:cs="Times New Roman"/>
                <w:sz w:val="24"/>
                <w:szCs w:val="24"/>
              </w:rPr>
              <w:t xml:space="preserve"> </w:t>
            </w:r>
            <w:r w:rsidR="00906C9C">
              <w:rPr>
                <w:rFonts w:ascii="Times New Roman" w:eastAsia="Times New Roman" w:hAnsi="Times New Roman" w:cs="Times New Roman"/>
                <w:sz w:val="24"/>
                <w:szCs w:val="24"/>
              </w:rPr>
              <w:t xml:space="preserve">73000, </w:t>
            </w:r>
            <w:r w:rsidR="007E07E4" w:rsidRPr="002918CF">
              <w:rPr>
                <w:rFonts w:ascii="Times New Roman" w:eastAsia="Times New Roman" w:hAnsi="Times New Roman" w:cs="Times New Roman"/>
                <w:sz w:val="24"/>
                <w:szCs w:val="24"/>
              </w:rPr>
              <w:t>Україна, Херсонська обл., м. Херсон, складські приміщення виконавця</w:t>
            </w:r>
            <w:r w:rsidRPr="002918CF">
              <w:rPr>
                <w:rFonts w:ascii="Times New Roman" w:eastAsia="Times New Roman" w:hAnsi="Times New Roman" w:cs="Times New Roman"/>
                <w:sz w:val="24"/>
                <w:szCs w:val="24"/>
              </w:rPr>
              <w:t>.</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811E57" w:rsidP="007A10B9">
            <w:pPr>
              <w:widowControl w:val="0"/>
              <w:rPr>
                <w:rFonts w:ascii="Times New Roman" w:eastAsia="Times New Roman" w:hAnsi="Times New Roman" w:cs="Times New Roman"/>
                <w:sz w:val="24"/>
                <w:szCs w:val="24"/>
                <w:highlight w:val="cyan"/>
              </w:rPr>
            </w:pPr>
            <w:r w:rsidRPr="00961FC2">
              <w:rPr>
                <w:rFonts w:ascii="Times New Roman" w:eastAsia="Times New Roman" w:hAnsi="Times New Roman"/>
                <w:sz w:val="24"/>
                <w:szCs w:val="24"/>
              </w:rPr>
              <w:t xml:space="preserve">до </w:t>
            </w:r>
            <w:r w:rsidR="007A10B9" w:rsidRPr="00961FC2">
              <w:rPr>
                <w:rFonts w:ascii="Times New Roman" w:eastAsia="Times New Roman" w:hAnsi="Times New Roman" w:cs="Times New Roman"/>
                <w:sz w:val="24"/>
                <w:szCs w:val="24"/>
              </w:rPr>
              <w:t>31.12</w:t>
            </w:r>
            <w:r w:rsidRPr="00961FC2">
              <w:rPr>
                <w:rFonts w:ascii="Times New Roman" w:eastAsia="Times New Roman" w:hAnsi="Times New Roman" w:cs="Times New Roman"/>
                <w:sz w:val="24"/>
                <w:szCs w:val="24"/>
              </w:rPr>
              <w:t>.2023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4C5E51">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873857" w:rsidRPr="004C5E51" w:rsidRDefault="002B0536" w:rsidP="007E07E4">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1"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7052C" w:rsidRDefault="00340271" w:rsidP="00340271">
            <w:pPr>
              <w:widowControl w:val="0"/>
              <w:numPr>
                <w:ilvl w:val="0"/>
                <w:numId w:val="4"/>
              </w:numPr>
              <w:ind w:left="58" w:firstLine="284"/>
              <w:jc w:val="both"/>
              <w:rPr>
                <w:rFonts w:ascii="Times New Roman" w:hAnsi="Times New Roman" w:cs="Times New Roman"/>
                <w:sz w:val="24"/>
                <w:szCs w:val="24"/>
              </w:rPr>
            </w:pPr>
            <w:r w:rsidRPr="0047052C">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7052C">
              <w:rPr>
                <w:rFonts w:ascii="Times New Roman" w:eastAsia="Times New Roman" w:hAnsi="Times New Roman" w:cs="Times New Roman"/>
                <w:b/>
                <w:sz w:val="24"/>
                <w:szCs w:val="24"/>
              </w:rPr>
              <w:t xml:space="preserve">згідно з Додатком </w:t>
            </w:r>
            <w:r w:rsidRPr="0047052C">
              <w:rPr>
                <w:rFonts w:ascii="Times New Roman" w:eastAsia="Times New Roman" w:hAnsi="Times New Roman" w:cs="Times New Roman"/>
                <w:b/>
                <w:sz w:val="24"/>
                <w:szCs w:val="24"/>
                <w:lang w:val="ru-RU"/>
              </w:rPr>
              <w:t>3</w:t>
            </w:r>
            <w:r w:rsidRPr="0047052C">
              <w:rPr>
                <w:rFonts w:ascii="Times New Roman" w:eastAsia="Times New Roman" w:hAnsi="Times New Roman" w:cs="Times New Roman"/>
                <w:sz w:val="24"/>
                <w:szCs w:val="24"/>
              </w:rPr>
              <w:t xml:space="preserve"> до цієї тендерної документації</w:t>
            </w:r>
            <w:r w:rsidRPr="0047052C">
              <w:rPr>
                <w:rFonts w:ascii="Times New Roman" w:hAnsi="Times New Roman" w:cs="Times New Roman"/>
                <w:sz w:val="24"/>
                <w:szCs w:val="24"/>
              </w:rPr>
              <w:t>;</w:t>
            </w:r>
          </w:p>
          <w:p w:rsidR="004B182A" w:rsidRPr="004B182A" w:rsidRDefault="004B182A" w:rsidP="004B182A">
            <w:pPr>
              <w:numPr>
                <w:ilvl w:val="0"/>
                <w:numId w:val="10"/>
              </w:numPr>
              <w:pBdr>
                <w:top w:val="nil"/>
                <w:left w:val="nil"/>
                <w:bottom w:val="nil"/>
                <w:right w:val="nil"/>
                <w:between w:val="nil"/>
              </w:pBdr>
              <w:ind w:left="58" w:firstLine="302"/>
              <w:jc w:val="both"/>
              <w:rPr>
                <w:rFonts w:ascii="Times New Roman" w:hAnsi="Times New Roman" w:cs="Times New Roman"/>
                <w:sz w:val="24"/>
                <w:szCs w:val="24"/>
              </w:rPr>
            </w:pPr>
            <w:r w:rsidRPr="004B182A">
              <w:rPr>
                <w:rFonts w:ascii="Times New Roman" w:hAnsi="Times New Roman" w:cs="Times New Roman"/>
                <w:sz w:val="24"/>
                <w:szCs w:val="24"/>
              </w:rPr>
              <w:t>інформації щодо кожного  субпідрядника/ співвиконавця у разі залучення (відповідно до п. 7 «Інформація про субпідрядника/співвиконавця» даного Розділу);</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4C5E51">
              <w:rPr>
                <w:rFonts w:ascii="Times New Roman" w:eastAsia="Times New Roman" w:hAnsi="Times New Roman" w:cs="Times New Roman"/>
                <w:sz w:val="24"/>
                <w:szCs w:val="24"/>
              </w:rPr>
              <w:lastRenderedPageBreak/>
              <w:t>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написання слів разом та/або окремо, та/або через </w:t>
            </w:r>
            <w:r w:rsidRPr="004C5E51">
              <w:rPr>
                <w:rFonts w:ascii="Times New Roman" w:eastAsia="Times New Roman" w:hAnsi="Times New Roman" w:cs="Times New Roman"/>
                <w:sz w:val="24"/>
                <w:szCs w:val="24"/>
              </w:rPr>
              <w:lastRenderedPageBreak/>
              <w:t>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4C5E51">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тендерна пропозиція учасника повинна бути </w:t>
            </w:r>
            <w:r w:rsidRPr="004C5E51">
              <w:rPr>
                <w:rFonts w:ascii="Times New Roman" w:eastAsia="Times New Roman" w:hAnsi="Times New Roman" w:cs="Times New Roman"/>
                <w:sz w:val="24"/>
                <w:szCs w:val="24"/>
              </w:rPr>
              <w:lastRenderedPageBreak/>
              <w:t>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sidR="005278E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w:t>
            </w:r>
            <w:r w:rsidRPr="00D04ED3">
              <w:rPr>
                <w:rFonts w:ascii="Times New Roman" w:hAnsi="Times New Roman" w:cs="Times New Roman"/>
                <w:sz w:val="24"/>
                <w:szCs w:val="24"/>
                <w:lang w:eastAsia="en-US"/>
              </w:rPr>
              <w:lastRenderedPageBreak/>
              <w:t xml:space="preserve">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p w:rsidR="00343DBD" w:rsidRPr="00343DBD" w:rsidRDefault="00343DBD" w:rsidP="00343DBD">
            <w:pPr>
              <w:widowControl w:val="0"/>
              <w:ind w:firstLine="340"/>
              <w:jc w:val="both"/>
              <w:rPr>
                <w:rFonts w:ascii="Times New Roman" w:eastAsia="Times New Roman" w:hAnsi="Times New Roman" w:cs="Times New Roman"/>
                <w:sz w:val="24"/>
                <w:szCs w:val="24"/>
              </w:rPr>
            </w:pPr>
            <w:r w:rsidRPr="00343DBD">
              <w:rPr>
                <w:rFonts w:ascii="Times New Roman" w:hAnsi="Times New Roman" w:cs="Times New Roman"/>
                <w:sz w:val="24"/>
                <w:szCs w:val="24"/>
                <w:shd w:val="clear" w:color="auto" w:fill="FFFFFF"/>
              </w:rPr>
              <w:t>Відповідно до пункту 27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3" w:tgtFrame="_blank" w:history="1">
              <w:r w:rsidRPr="00343DBD">
                <w:rPr>
                  <w:rStyle w:val="a6"/>
                  <w:rFonts w:ascii="Times New Roman" w:hAnsi="Times New Roman" w:cs="Times New Roman"/>
                  <w:color w:val="auto"/>
                  <w:sz w:val="24"/>
                  <w:szCs w:val="24"/>
                  <w:shd w:val="clear" w:color="auto" w:fill="FFFFFF"/>
                </w:rPr>
                <w:t>Законом</w:t>
              </w:r>
            </w:hyperlink>
            <w:r w:rsidRPr="00343DBD">
              <w:rPr>
                <w:rFonts w:ascii="Times New Roman" w:hAnsi="Times New Roman" w:cs="Times New Roman"/>
                <w:sz w:val="24"/>
                <w:szCs w:val="24"/>
                <w:shd w:val="clear" w:color="auto" w:fill="FFFFFF"/>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4C5E51">
              <w:rPr>
                <w:rFonts w:ascii="Times New Roman" w:eastAsia="Times New Roman" w:hAnsi="Times New Roman" w:cs="Times New Roman"/>
                <w:sz w:val="24"/>
                <w:szCs w:val="24"/>
              </w:rPr>
              <w:lastRenderedPageBreak/>
              <w:t xml:space="preserve">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4C5E51">
              <w:rPr>
                <w:rFonts w:ascii="Times New Roman" w:eastAsia="Times New Roman" w:hAnsi="Times New Roman" w:cs="Times New Roman"/>
                <w:sz w:val="24"/>
                <w:szCs w:val="24"/>
              </w:rPr>
              <w:lastRenderedPageBreak/>
              <w:t>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Pr="00312616" w:rsidRDefault="00312616" w:rsidP="003126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12616">
              <w:rPr>
                <w:rFonts w:ascii="Times New Roman" w:eastAsia="Times New Roman" w:hAnsi="Times New Roman" w:cs="Times New Roman"/>
                <w:sz w:val="24"/>
                <w:szCs w:val="24"/>
              </w:rPr>
              <w:t>бенефіціарний</w:t>
            </w:r>
            <w:proofErr w:type="spellEnd"/>
            <w:r w:rsidRPr="0031261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1261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312616">
              <w:rPr>
                <w:rFonts w:ascii="Times New Roman" w:eastAsia="Times New Roman" w:hAnsi="Times New Roman" w:cs="Times New Roman"/>
                <w:sz w:val="24"/>
                <w:szCs w:val="24"/>
                <w:highlight w:val="white"/>
              </w:rPr>
              <w:t>“Про</w:t>
            </w:r>
            <w:proofErr w:type="spellEnd"/>
            <w:r w:rsidRPr="00312616">
              <w:rPr>
                <w:rFonts w:ascii="Times New Roman" w:eastAsia="Times New Roman" w:hAnsi="Times New Roman" w:cs="Times New Roman"/>
                <w:sz w:val="24"/>
                <w:szCs w:val="24"/>
                <w:highlight w:val="white"/>
              </w:rPr>
              <w:t xml:space="preserve"> </w:t>
            </w:r>
            <w:proofErr w:type="spellStart"/>
            <w:r w:rsidRPr="00312616">
              <w:rPr>
                <w:rFonts w:ascii="Times New Roman" w:eastAsia="Times New Roman" w:hAnsi="Times New Roman" w:cs="Times New Roman"/>
                <w:sz w:val="24"/>
                <w:szCs w:val="24"/>
                <w:highlight w:val="white"/>
              </w:rPr>
              <w:t>санкції”</w:t>
            </w:r>
            <w:proofErr w:type="spellEnd"/>
            <w:r w:rsidRPr="00312616">
              <w:rPr>
                <w:rFonts w:ascii="Times New Roman" w:eastAsia="Times New Roman" w:hAnsi="Times New Roman" w:cs="Times New Roman"/>
                <w:sz w:val="24"/>
                <w:szCs w:val="24"/>
                <w:highlight w:val="white"/>
              </w:rPr>
              <w:t xml:space="preserve">, </w:t>
            </w:r>
            <w:r w:rsidRPr="0031261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4C5E51">
              <w:rPr>
                <w:rFonts w:ascii="Times New Roman" w:eastAsia="Times New Roman" w:hAnsi="Times New Roman" w:cs="Times New Roman"/>
                <w:sz w:val="24"/>
                <w:szCs w:val="24"/>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4" w:anchor="n616" w:history="1">
              <w:r w:rsidRPr="0096452B">
                <w:t>підпунктів 1</w:t>
              </w:r>
            </w:hyperlink>
            <w:r w:rsidRPr="0096452B">
              <w:t> і </w:t>
            </w:r>
            <w:hyperlink r:id="rId15" w:anchor="n622" w:history="1">
              <w:r w:rsidRPr="0096452B">
                <w:t>7</w:t>
              </w:r>
            </w:hyperlink>
            <w:r w:rsidRPr="0096452B">
              <w:t>, </w:t>
            </w:r>
            <w:hyperlink r:id="rId16"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6452B">
                <w:t>підпунктах 3</w:t>
              </w:r>
            </w:hyperlink>
            <w:r w:rsidRPr="0096452B">
              <w:t>, </w:t>
            </w:r>
            <w:hyperlink r:id="rId20" w:anchor="n620" w:history="1">
              <w:r w:rsidRPr="0096452B">
                <w:t>5</w:t>
              </w:r>
            </w:hyperlink>
            <w:r w:rsidRPr="0096452B">
              <w:t>, </w:t>
            </w:r>
            <w:hyperlink r:id="rId21" w:anchor="n621" w:history="1">
              <w:r w:rsidRPr="0096452B">
                <w:t>6</w:t>
              </w:r>
            </w:hyperlink>
            <w:r w:rsidRPr="0096452B">
              <w:t> і </w:t>
            </w:r>
            <w:hyperlink r:id="rId22" w:anchor="n627" w:history="1">
              <w:r w:rsidRPr="0096452B">
                <w:t>12</w:t>
              </w:r>
            </w:hyperlink>
            <w:r w:rsidRPr="0096452B">
              <w:t> та в </w:t>
            </w:r>
            <w:hyperlink r:id="rId23" w:anchor="n628" w:history="1">
              <w:r w:rsidRPr="0096452B">
                <w:t>абзаці чотирнадцятому</w:t>
              </w:r>
            </w:hyperlink>
            <w:r w:rsidRPr="0096452B">
              <w:t xml:space="preserve">  </w:t>
            </w:r>
            <w:r>
              <w:t>пункту 4</w:t>
            </w:r>
            <w:r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CD04CC" w:rsidRDefault="00200DB5" w:rsidP="00200DB5">
            <w:pPr>
              <w:widowControl w:val="0"/>
              <w:ind w:right="120" w:firstLine="342"/>
              <w:jc w:val="both"/>
              <w:rPr>
                <w:rFonts w:ascii="Times New Roman" w:eastAsia="Times New Roman" w:hAnsi="Times New Roman" w:cs="Times New Roman"/>
                <w:sz w:val="24"/>
                <w:szCs w:val="24"/>
              </w:rPr>
            </w:pPr>
            <w:r w:rsidRPr="00CD04C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4">
              <w:r w:rsidRPr="00CD04CC">
                <w:rPr>
                  <w:rFonts w:ascii="Times New Roman" w:eastAsia="Times New Roman" w:hAnsi="Times New Roman" w:cs="Times New Roman"/>
                  <w:sz w:val="24"/>
                  <w:szCs w:val="24"/>
                </w:rPr>
                <w:t xml:space="preserve"> пунктом третім </w:t>
              </w:r>
            </w:hyperlink>
            <w:hyperlink r:id="rId25">
              <w:r w:rsidRPr="00CD04CC">
                <w:rPr>
                  <w:rFonts w:ascii="Times New Roman" w:eastAsia="Times New Roman" w:hAnsi="Times New Roman" w:cs="Times New Roman"/>
                  <w:sz w:val="24"/>
                  <w:szCs w:val="24"/>
                </w:rPr>
                <w:t>частини друго</w:t>
              </w:r>
            </w:hyperlink>
            <w:r w:rsidRPr="00CD04CC">
              <w:rPr>
                <w:rFonts w:ascii="Times New Roman" w:eastAsia="Times New Roman" w:hAnsi="Times New Roman" w:cs="Times New Roman"/>
                <w:sz w:val="24"/>
                <w:szCs w:val="24"/>
              </w:rPr>
              <w:t xml:space="preserve">ї статті 22 Закону зазначено в </w:t>
            </w:r>
            <w:r w:rsidRPr="00CD04CC">
              <w:rPr>
                <w:rFonts w:ascii="Times New Roman" w:eastAsia="Times New Roman" w:hAnsi="Times New Roman" w:cs="Times New Roman"/>
                <w:b/>
                <w:sz w:val="24"/>
                <w:szCs w:val="24"/>
              </w:rPr>
              <w:t xml:space="preserve">Додатку 3 </w:t>
            </w:r>
            <w:r w:rsidRPr="00CD04CC">
              <w:rPr>
                <w:rFonts w:ascii="Times New Roman" w:eastAsia="Times New Roman" w:hAnsi="Times New Roman" w:cs="Times New Roman"/>
                <w:sz w:val="24"/>
                <w:szCs w:val="24"/>
              </w:rPr>
              <w:t>до цієї тендерної документації.</w:t>
            </w:r>
          </w:p>
          <w:p w:rsidR="00502DBA" w:rsidRPr="00CD04CC" w:rsidRDefault="00200DB5"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 xml:space="preserve">У цій документації всі посилання на конкретні марку </w:t>
            </w:r>
            <w:r w:rsidRPr="00CD04CC">
              <w:rPr>
                <w:rFonts w:ascii="Times New Roman" w:hAnsi="Times New Roman" w:cs="Times New Roman"/>
                <w:sz w:val="24"/>
                <w:szCs w:val="24"/>
              </w:rPr>
              <w:lastRenderedPageBreak/>
              <w:t>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04CC" w:rsidRPr="004C5E51" w:rsidRDefault="00CD04CC" w:rsidP="00AA4B71">
            <w:pPr>
              <w:widowControl w:val="0"/>
              <w:ind w:right="120" w:firstLine="341"/>
              <w:jc w:val="both"/>
              <w:rPr>
                <w:rFonts w:ascii="Times New Roman" w:eastAsia="Times New Roman" w:hAnsi="Times New Roman" w:cs="Times New Roman"/>
                <w:sz w:val="24"/>
                <w:szCs w:val="24"/>
              </w:rPr>
            </w:pPr>
            <w:r w:rsidRPr="00CD04CC">
              <w:rPr>
                <w:rFonts w:ascii="Times New Roman" w:hAnsi="Times New Roman" w:cs="Times New Roman"/>
                <w:sz w:val="24"/>
                <w:szCs w:val="24"/>
              </w:rPr>
              <w:t>Технічна специфікація, з описом усіх необхідних характеристик послуг, що надаються, у тому числі їх технічні, функціональні та якісні характеристики наведено у Додатку 3 тендерної документації</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lastRenderedPageBreak/>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7B36F2" w:rsidRPr="004C5E51" w:rsidRDefault="00353AFD" w:rsidP="007B27C0">
            <w:pPr>
              <w:pStyle w:val="a9"/>
              <w:suppressAutoHyphens/>
              <w:spacing w:before="0" w:beforeAutospacing="0" w:after="0" w:afterAutospacing="0"/>
              <w:ind w:firstLine="566"/>
              <w:jc w:val="both"/>
              <w:rPr>
                <w:rFonts w:ascii="Calibri" w:hAnsi="Calibri"/>
                <w:sz w:val="20"/>
                <w:szCs w:val="20"/>
              </w:rPr>
            </w:pPr>
            <w:r>
              <w:rPr>
                <w:color w:val="000000" w:themeColor="text1"/>
              </w:rPr>
              <w:t>Запропонован</w:t>
            </w:r>
            <w:r w:rsidR="007B27C0">
              <w:rPr>
                <w:color w:val="000000" w:themeColor="text1"/>
              </w:rPr>
              <w:t>і</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 xml:space="preserve">послуги </w:t>
            </w:r>
            <w:r w:rsidRPr="0030536F">
              <w:rPr>
                <w:color w:val="000000" w:themeColor="text1"/>
              </w:rPr>
              <w:t xml:space="preserve">за своїми екологічними та іншими характеристиками </w:t>
            </w:r>
            <w:r>
              <w:rPr>
                <w:color w:val="000000" w:themeColor="text1"/>
              </w:rPr>
              <w:t>повин</w:t>
            </w:r>
            <w:r w:rsidR="007B27C0">
              <w:rPr>
                <w:color w:val="000000" w:themeColor="text1"/>
              </w:rPr>
              <w:t>ні</w:t>
            </w:r>
            <w:r>
              <w:rPr>
                <w:color w:val="000000" w:themeColor="text1"/>
              </w:rPr>
              <w:t xml:space="preserve"> відповідати</w:t>
            </w:r>
            <w:r w:rsidRPr="0030536F">
              <w:rPr>
                <w:color w:val="000000" w:themeColor="text1"/>
              </w:rPr>
              <w:t xml:space="preserve"> вимогам чинного законодавства та вимогам, установленим у тендерній документації.</w:t>
            </w:r>
            <w:r w:rsidR="00B315BA" w:rsidRPr="00DE790A">
              <w:t>.</w:t>
            </w:r>
            <w:r w:rsidR="00B315BA" w:rsidRPr="00254C57">
              <w:t xml:space="preserve"> </w:t>
            </w: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857BC" w:rsidRPr="009A7BF9" w:rsidRDefault="008765DA" w:rsidP="00F857BC">
            <w:pPr>
              <w:ind w:firstLine="658"/>
              <w:jc w:val="both"/>
              <w:rPr>
                <w:rFonts w:ascii="Times New Roman" w:hAnsi="Times New Roman" w:cs="Times New Roman"/>
                <w:sz w:val="24"/>
                <w:szCs w:val="24"/>
              </w:rPr>
            </w:pPr>
            <w:r w:rsidRPr="009A7BF9">
              <w:rPr>
                <w:rFonts w:ascii="Times New Roman" w:eastAsia="Times New Roman" w:hAnsi="Times New Roman" w:cs="Times New Roman"/>
                <w:sz w:val="24"/>
                <w:szCs w:val="24"/>
              </w:rPr>
              <w:t xml:space="preserve">Учасник в складі тендерної пропозиції надає </w:t>
            </w:r>
            <w:r w:rsidR="00F857BC" w:rsidRPr="009A7BF9">
              <w:rPr>
                <w:rFonts w:ascii="Times New Roman" w:eastAsia="Times New Roman" w:hAnsi="Times New Roman" w:cs="Times New Roman"/>
                <w:sz w:val="24"/>
                <w:szCs w:val="24"/>
                <w:lang w:val="en-US"/>
              </w:rPr>
              <w:t>і</w:t>
            </w:r>
            <w:proofErr w:type="spellStart"/>
            <w:r w:rsidR="00F857BC" w:rsidRPr="009A7BF9">
              <w:rPr>
                <w:rFonts w:ascii="Times New Roman" w:hAnsi="Times New Roman" w:cs="Times New Roman"/>
                <w:sz w:val="24"/>
                <w:szCs w:val="24"/>
              </w:rPr>
              <w:t>нформацію</w:t>
            </w:r>
            <w:proofErr w:type="spellEnd"/>
            <w:r w:rsidR="00F857BC" w:rsidRPr="009A7BF9">
              <w:rPr>
                <w:rFonts w:ascii="Times New Roman" w:hAnsi="Times New Roman" w:cs="Times New Roman"/>
                <w:sz w:val="24"/>
                <w:szCs w:val="24"/>
              </w:rPr>
              <w:t xml:space="preserve">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 </w:t>
            </w:r>
          </w:p>
          <w:p w:rsidR="00502DBA" w:rsidRPr="004C5E51" w:rsidRDefault="00F857BC" w:rsidP="00F857BC">
            <w:pPr>
              <w:widowControl w:val="0"/>
              <w:ind w:firstLine="340"/>
              <w:jc w:val="both"/>
              <w:rPr>
                <w:rFonts w:ascii="Times New Roman" w:eastAsia="Times New Roman" w:hAnsi="Times New Roman" w:cs="Times New Roman"/>
                <w:sz w:val="24"/>
                <w:szCs w:val="24"/>
              </w:rPr>
            </w:pPr>
            <w:r w:rsidRPr="009A7BF9">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E044F9">
              <w:rPr>
                <w:rFonts w:ascii="Times New Roman" w:eastAsia="Times New Roman" w:hAnsi="Times New Roman" w:cs="Times New Roman"/>
                <w:b/>
                <w:sz w:val="24"/>
                <w:szCs w:val="24"/>
              </w:rPr>
              <w:t>Кінцевий строк подання тендерних пропозицій</w:t>
            </w:r>
            <w:r w:rsidRPr="00E044F9">
              <w:rPr>
                <w:rFonts w:ascii="Times New Roman" w:eastAsia="Times New Roman" w:hAnsi="Times New Roman" w:cs="Times New Roman"/>
                <w:sz w:val="24"/>
                <w:szCs w:val="24"/>
              </w:rPr>
              <w:t xml:space="preserve"> — </w:t>
            </w:r>
            <w:r w:rsidR="00E044F9" w:rsidRPr="00E044F9">
              <w:rPr>
                <w:rFonts w:ascii="Times New Roman" w:eastAsia="Times New Roman" w:hAnsi="Times New Roman" w:cs="Times New Roman"/>
                <w:b/>
                <w:sz w:val="24"/>
                <w:szCs w:val="24"/>
                <w:lang w:val="ru-RU"/>
              </w:rPr>
              <w:t>02.10</w:t>
            </w:r>
            <w:r w:rsidRPr="00E044F9">
              <w:rPr>
                <w:rFonts w:ascii="Times New Roman" w:eastAsia="Times New Roman" w:hAnsi="Times New Roman" w:cs="Times New Roman"/>
                <w:b/>
                <w:sz w:val="24"/>
                <w:szCs w:val="24"/>
              </w:rPr>
              <w:t>.2023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BD7F35">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Pr="00957A4F" w:rsidRDefault="00957A4F" w:rsidP="00957A4F">
            <w:pPr>
              <w:widowControl w:val="0"/>
              <w:ind w:firstLine="341"/>
              <w:jc w:val="both"/>
              <w:rPr>
                <w:rFonts w:ascii="Times New Roman" w:eastAsia="Times New Roman" w:hAnsi="Times New Roman" w:cs="Times New Roman"/>
                <w:sz w:val="24"/>
                <w:szCs w:val="24"/>
              </w:rPr>
            </w:pPr>
            <w:r w:rsidRPr="001A7D5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визначає ціни на </w:t>
            </w:r>
            <w:r w:rsidR="008765DA">
              <w:rPr>
                <w:rFonts w:ascii="Times New Roman" w:eastAsia="Times New Roman" w:hAnsi="Times New Roman" w:cs="Times New Roman"/>
                <w:sz w:val="24"/>
                <w:szCs w:val="24"/>
              </w:rPr>
              <w:t>послуги</w:t>
            </w:r>
            <w:r w:rsidRPr="004C5E51">
              <w:rPr>
                <w:rFonts w:ascii="Times New Roman" w:eastAsia="Times New Roman" w:hAnsi="Times New Roman" w:cs="Times New Roman"/>
                <w:sz w:val="24"/>
                <w:szCs w:val="24"/>
              </w:rPr>
              <w:t xml:space="preserve">, що він пропонує </w:t>
            </w:r>
            <w:r w:rsidR="008765DA">
              <w:rPr>
                <w:rFonts w:ascii="Times New Roman" w:eastAsia="Times New Roman" w:hAnsi="Times New Roman" w:cs="Times New Roman"/>
                <w:sz w:val="24"/>
                <w:szCs w:val="24"/>
              </w:rPr>
              <w:t>надати</w:t>
            </w:r>
            <w:r w:rsidRPr="004C5E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4C5E51">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00006382">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даного виду.</w:t>
            </w:r>
          </w:p>
          <w:p w:rsidR="00502DBA" w:rsidRPr="00395B37" w:rsidRDefault="00BF1AF0" w:rsidP="00BD64B8">
            <w:pPr>
              <w:widowControl w:val="0"/>
              <w:ind w:firstLine="341"/>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F12904" w:rsidRDefault="00F12904" w:rsidP="00F12904">
            <w:pPr>
              <w:widowControl w:val="0"/>
              <w:ind w:firstLine="342"/>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F1290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4C5E51">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00BC769D" w:rsidRPr="00BC769D">
              <w:rPr>
                <w:rFonts w:ascii="Times New Roman" w:eastAsia="Times New Roman" w:hAnsi="Times New Roman" w:cs="Times New Roman"/>
                <w:sz w:val="24"/>
                <w:szCs w:val="24"/>
              </w:rPr>
              <w:lastRenderedPageBreak/>
              <w:t>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00FD2338" w:rsidRPr="00FD233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FD2338" w:rsidRPr="00FD2338">
              <w:rPr>
                <w:rFonts w:ascii="Times New Roman" w:eastAsia="Times New Roman" w:hAnsi="Times New Roman" w:cs="Times New Roman"/>
                <w:sz w:val="24"/>
                <w:szCs w:val="24"/>
              </w:rPr>
              <w:t>бенефіціарним</w:t>
            </w:r>
            <w:proofErr w:type="spellEnd"/>
            <w:r w:rsidR="00FD2338" w:rsidRPr="00FD23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D2338">
              <w:rPr>
                <w:rFonts w:ascii="Times New Roman" w:eastAsia="Times New Roman" w:hAnsi="Times New Roman" w:cs="Times New Roman"/>
                <w:sz w:val="24"/>
                <w:szCs w:val="24"/>
              </w:rPr>
              <w:t>.</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w:t>
            </w:r>
            <w:r w:rsidRPr="004C5E51">
              <w:lastRenderedPageBreak/>
              <w:t>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421CDD" w:rsidP="00A81EBB">
            <w:pPr>
              <w:widowControl w:val="0"/>
              <w:ind w:firstLine="342"/>
              <w:jc w:val="both"/>
              <w:rPr>
                <w:rFonts w:ascii="Times New Roman" w:eastAsia="Times New Roman" w:hAnsi="Times New Roman" w:cs="Times New Roman"/>
                <w:i/>
                <w:sz w:val="20"/>
                <w:szCs w:val="20"/>
              </w:rPr>
            </w:pPr>
            <w:r w:rsidRPr="00421CDD">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8" w:tgtFrame="_blank" w:history="1">
              <w:r w:rsidRPr="00421CDD">
                <w:rPr>
                  <w:rFonts w:ascii="Times New Roman" w:eastAsia="Times New Roman" w:hAnsi="Times New Roman" w:cs="Times New Roman"/>
                  <w:sz w:val="24"/>
                  <w:szCs w:val="24"/>
                </w:rPr>
                <w:t>Законом</w:t>
              </w:r>
            </w:hyperlink>
            <w:r w:rsidRPr="00421CDD">
              <w:rPr>
                <w:rFonts w:ascii="Times New Roman" w:eastAsia="Times New Roman" w:hAnsi="Times New Roman" w:cs="Times New Roman"/>
                <w:sz w:val="24"/>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8573A">
              <w:rPr>
                <w:rFonts w:ascii="Times New Roman" w:eastAsia="Times New Roman" w:hAnsi="Times New Roman" w:cs="Times New Roman"/>
                <w:sz w:val="24"/>
                <w:szCs w:val="24"/>
                <w:highlight w:val="white"/>
              </w:rPr>
              <w:lastRenderedPageBreak/>
              <w:t>(Офіційний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38573A">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CA1795" w:rsidRPr="003C0FB3"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C0FB3">
              <w:rPr>
                <w:rFonts w:ascii="Times New Roman" w:eastAsia="Times New Roman" w:hAnsi="Times New Roman" w:cs="Times New Roman"/>
                <w:sz w:val="24"/>
                <w:szCs w:val="24"/>
                <w:lang w:val="en-US"/>
              </w:rPr>
              <w:t xml:space="preserve">, </w:t>
            </w:r>
            <w:r w:rsidR="003C0FB3">
              <w:rPr>
                <w:rFonts w:ascii="Times New Roman" w:eastAsia="Times New Roman" w:hAnsi="Times New Roman" w:cs="Times New Roman"/>
                <w:sz w:val="24"/>
                <w:szCs w:val="24"/>
              </w:rPr>
              <w:t>визначені пунктом 2 «Строк укладання договору про закупівлю» цього розділу.</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Default="00BF1AF0" w:rsidP="007B4A2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p w:rsidR="005F4BE1" w:rsidRPr="004C5E51" w:rsidRDefault="005F4BE1" w:rsidP="007B4A22">
            <w:pPr>
              <w:widowControl w:val="0"/>
              <w:ind w:firstLine="341"/>
              <w:jc w:val="both"/>
              <w:rPr>
                <w:rFonts w:ascii="Times New Roman" w:eastAsia="Times New Roman" w:hAnsi="Times New Roman" w:cs="Times New Roman"/>
                <w:sz w:val="24"/>
                <w:szCs w:val="24"/>
                <w:highlight w:val="white"/>
              </w:rPr>
            </w:pPr>
          </w:p>
        </w:tc>
      </w:tr>
      <w:tr w:rsidR="00502DBA" w:rsidRPr="004C5E51" w:rsidTr="009F2758">
        <w:trPr>
          <w:trHeight w:val="69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A3587A" w:rsidRDefault="00A3587A" w:rsidP="00A3587A">
            <w:pPr>
              <w:widowControl w:val="0"/>
              <w:ind w:firstLine="342"/>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4C5E51"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706" w:rsidRPr="00B56706" w:rsidRDefault="00B56706" w:rsidP="00B56706">
            <w:pPr>
              <w:shd w:val="clear" w:color="auto" w:fill="FFFFFF"/>
              <w:spacing w:before="120"/>
              <w:jc w:val="both"/>
              <w:rPr>
                <w:rFonts w:ascii="Times New Roman" w:eastAsia="Times New Roman" w:hAnsi="Times New Roman" w:cs="Times New Roman"/>
                <w:sz w:val="24"/>
                <w:szCs w:val="24"/>
              </w:rPr>
            </w:pPr>
            <w:r w:rsidRPr="00B5670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6706">
              <w:rPr>
                <w:rFonts w:ascii="Times New Roman" w:eastAsia="Times New Roman" w:hAnsi="Times New Roman" w:cs="Times New Roman"/>
                <w:sz w:val="24"/>
                <w:szCs w:val="24"/>
                <w:highlight w:val="white"/>
              </w:rPr>
              <w:t>у тому числі за результатами електронного аукціону, кр</w:t>
            </w:r>
            <w:r w:rsidRPr="00B56706">
              <w:rPr>
                <w:rFonts w:ascii="Times New Roman" w:eastAsia="Times New Roman" w:hAnsi="Times New Roman" w:cs="Times New Roman"/>
                <w:sz w:val="24"/>
                <w:szCs w:val="24"/>
              </w:rPr>
              <w:t>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502DBA" w:rsidRPr="004C5E51" w:rsidRDefault="00BF1AF0" w:rsidP="00FD0C6E">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FD0C6E">
              <w:rPr>
                <w:rFonts w:ascii="Times New Roman" w:eastAsia="Times New Roman" w:hAnsi="Times New Roman" w:cs="Times New Roman"/>
                <w:sz w:val="24"/>
                <w:szCs w:val="24"/>
              </w:rPr>
              <w:t>без зменшення обсягів закупівлі</w:t>
            </w:r>
            <w:r w:rsidRPr="004C5E51">
              <w:rPr>
                <w:rFonts w:ascii="Times New Roman" w:eastAsia="Times New Roman" w:hAnsi="Times New Roman" w:cs="Times New Roman"/>
                <w:sz w:val="24"/>
                <w:szCs w:val="24"/>
              </w:rPr>
              <w:t>.</w:t>
            </w:r>
          </w:p>
          <w:p w:rsidR="005C005C" w:rsidRPr="004C5E51" w:rsidRDefault="005C005C" w:rsidP="005C005C">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30"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853E2F" w:rsidRPr="00853E2F" w:rsidRDefault="00853E2F" w:rsidP="00853E2F">
            <w:pPr>
              <w:pStyle w:val="rvps2"/>
              <w:shd w:val="clear" w:color="auto" w:fill="FFFFFF"/>
              <w:spacing w:before="0" w:beforeAutospacing="0" w:after="0" w:afterAutospacing="0"/>
              <w:ind w:firstLine="522"/>
              <w:jc w:val="both"/>
            </w:pPr>
            <w:r w:rsidRPr="00853E2F">
              <w:t>1) зменшення обсягів закупівлі, зокрема з урахуванням фактичного обсягу видатків замовника;</w:t>
            </w:r>
          </w:p>
          <w:p w:rsidR="00853E2F" w:rsidRPr="00853E2F" w:rsidRDefault="00AC3A3B" w:rsidP="00853E2F">
            <w:pPr>
              <w:pStyle w:val="rvps2"/>
              <w:shd w:val="clear" w:color="auto" w:fill="FFFFFF"/>
              <w:spacing w:before="0" w:beforeAutospacing="0" w:after="0" w:afterAutospacing="0"/>
              <w:ind w:firstLine="522"/>
              <w:jc w:val="both"/>
            </w:pPr>
            <w:bookmarkStart w:id="6" w:name="n511"/>
            <w:bookmarkStart w:id="7" w:name="n512"/>
            <w:bookmarkEnd w:id="6"/>
            <w:bookmarkEnd w:id="7"/>
            <w:r>
              <w:t>2</w:t>
            </w:r>
            <w:r w:rsidR="00853E2F" w:rsidRPr="00853E2F">
              <w:t>) покращення якості предмета закупівлі за умови, що таке покращення не призведе до збільшення суми, визначеної в договорі про закупівлю;</w:t>
            </w:r>
          </w:p>
          <w:p w:rsidR="00853E2F" w:rsidRPr="00853E2F" w:rsidRDefault="00AC3A3B" w:rsidP="00853E2F">
            <w:pPr>
              <w:pStyle w:val="rvps2"/>
              <w:shd w:val="clear" w:color="auto" w:fill="FFFFFF"/>
              <w:spacing w:before="0" w:beforeAutospacing="0" w:after="0" w:afterAutospacing="0"/>
              <w:ind w:firstLine="522"/>
              <w:jc w:val="both"/>
            </w:pPr>
            <w:bookmarkStart w:id="8" w:name="n513"/>
            <w:bookmarkEnd w:id="8"/>
            <w:r>
              <w:t>3</w:t>
            </w:r>
            <w:r w:rsidR="00853E2F" w:rsidRPr="00853E2F">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3E2F" w:rsidRPr="00853E2F" w:rsidRDefault="00AC3A3B" w:rsidP="00853E2F">
            <w:pPr>
              <w:pStyle w:val="rvps2"/>
              <w:shd w:val="clear" w:color="auto" w:fill="FFFFFF"/>
              <w:spacing w:before="0" w:beforeAutospacing="0" w:after="0" w:afterAutospacing="0"/>
              <w:ind w:firstLine="522"/>
              <w:jc w:val="both"/>
            </w:pPr>
            <w:bookmarkStart w:id="9" w:name="n514"/>
            <w:bookmarkEnd w:id="9"/>
            <w:r>
              <w:t>4</w:t>
            </w:r>
            <w:r w:rsidR="00853E2F" w:rsidRPr="00853E2F">
              <w:t>) погодження зміни ціни в договорі про закупівлю в бік зменшення (без зміни кількості (обсягу) та якості товарів, робіт і послуг);</w:t>
            </w:r>
          </w:p>
          <w:p w:rsidR="00853E2F" w:rsidRPr="00853E2F" w:rsidRDefault="00AC3A3B" w:rsidP="00853E2F">
            <w:pPr>
              <w:pStyle w:val="rvps2"/>
              <w:shd w:val="clear" w:color="auto" w:fill="FFFFFF"/>
              <w:spacing w:before="0" w:beforeAutospacing="0" w:after="0" w:afterAutospacing="0"/>
              <w:ind w:firstLine="522"/>
              <w:jc w:val="both"/>
            </w:pPr>
            <w:bookmarkStart w:id="10" w:name="n515"/>
            <w:bookmarkEnd w:id="10"/>
            <w:r>
              <w:t>5</w:t>
            </w:r>
            <w:r w:rsidR="00853E2F" w:rsidRPr="00853E2F">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53E2F" w:rsidRPr="00853E2F" w:rsidRDefault="00AC3A3B" w:rsidP="00853E2F">
            <w:pPr>
              <w:pStyle w:val="rvps2"/>
              <w:shd w:val="clear" w:color="auto" w:fill="FFFFFF"/>
              <w:spacing w:before="0" w:beforeAutospacing="0" w:after="0" w:afterAutospacing="0"/>
              <w:ind w:firstLine="522"/>
              <w:jc w:val="both"/>
            </w:pPr>
            <w:bookmarkStart w:id="11" w:name="n516"/>
            <w:bookmarkEnd w:id="11"/>
            <w:r>
              <w:t>6</w:t>
            </w:r>
            <w:r w:rsidR="00853E2F" w:rsidRPr="00853E2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53E2F" w:rsidRPr="00853E2F">
              <w:t>Platts</w:t>
            </w:r>
            <w:proofErr w:type="spellEnd"/>
            <w:r w:rsidR="00853E2F" w:rsidRPr="00853E2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005C" w:rsidRPr="000B72BE" w:rsidRDefault="00AC3A3B" w:rsidP="00853E2F">
            <w:pPr>
              <w:pStyle w:val="rvps2"/>
              <w:shd w:val="clear" w:color="auto" w:fill="FFFFFF"/>
              <w:spacing w:before="0" w:beforeAutospacing="0" w:after="0" w:afterAutospacing="0"/>
              <w:ind w:firstLine="522"/>
              <w:jc w:val="both"/>
              <w:rPr>
                <w:lang w:val="ru-RU"/>
              </w:rPr>
            </w:pPr>
            <w:bookmarkStart w:id="12" w:name="n517"/>
            <w:bookmarkEnd w:id="12"/>
            <w:r>
              <w:t>7</w:t>
            </w:r>
            <w:r w:rsidR="00853E2F" w:rsidRPr="00853E2F">
              <w:t>) зміни умов у зв’язку із застосуванням положень </w:t>
            </w:r>
            <w:hyperlink r:id="rId31" w:anchor="n1778" w:tgtFrame="_blank" w:history="1">
              <w:r w:rsidR="00853E2F" w:rsidRPr="00853E2F">
                <w:t>частини шостої</w:t>
              </w:r>
            </w:hyperlink>
            <w:r w:rsidR="00853E2F">
              <w:t> статті 41 Закону</w:t>
            </w:r>
            <w:r w:rsidR="0097056B">
              <w:rPr>
                <w:lang w:val="ru-RU"/>
              </w:rPr>
              <w:t>.</w:t>
            </w:r>
            <w:bookmarkStart w:id="13" w:name="_GoBack"/>
            <w:bookmarkEnd w:id="13"/>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w:t>
            </w:r>
            <w:r w:rsidRPr="004C5E51">
              <w:rPr>
                <w:rFonts w:ascii="Times New Roman" w:hAnsi="Times New Roman" w:cs="Times New Roman"/>
                <w:sz w:val="24"/>
                <w:szCs w:val="24"/>
              </w:rPr>
              <w:lastRenderedPageBreak/>
              <w:t>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2"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8C4D8E">
              <w:rPr>
                <w:rFonts w:eastAsia="Calibri"/>
              </w:rPr>
              <w:t>1) коли замовник уклав договір про закупівлю з порушенням вимог, визначених </w:t>
            </w:r>
            <w:hyperlink r:id="rId33"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8C4D8E">
              <w:rPr>
                <w:rFonts w:eastAsia="Calibri"/>
              </w:rPr>
              <w:t>2) укладення договору про закупівлю з порушенням вимог </w:t>
            </w:r>
            <w:hyperlink r:id="rId34"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8C4D8E">
              <w:rPr>
                <w:rFonts w:eastAsia="Calibri"/>
              </w:rPr>
              <w:t>3) укладення договору про закупівлю в період оскарження відкритих торгів відповідно до </w:t>
            </w:r>
            <w:hyperlink r:id="rId35"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8C4D8E">
              <w:rPr>
                <w:rFonts w:eastAsia="Calibri"/>
              </w:rPr>
              <w:t>4) укладення договору з порушенням строків, передбачених </w:t>
            </w:r>
            <w:hyperlink r:id="rId36" w:anchor="n638" w:history="1">
              <w:r w:rsidRPr="008C4D8E">
                <w:rPr>
                  <w:rFonts w:eastAsia="Calibri"/>
                </w:rPr>
                <w:t>абзацами третім</w:t>
              </w:r>
            </w:hyperlink>
            <w:r w:rsidRPr="008C4D8E">
              <w:rPr>
                <w:rFonts w:eastAsia="Calibri"/>
              </w:rPr>
              <w:t> та </w:t>
            </w:r>
            <w:hyperlink r:id="rId37"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8"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4C5E51" w:rsidSect="00873857">
      <w:footerReference w:type="default" r:id="rId39"/>
      <w:footerReference w:type="first" r:id="rId40"/>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1D" w:rsidRDefault="0079691D" w:rsidP="00502DBA">
      <w:pPr>
        <w:spacing w:after="0" w:line="240" w:lineRule="auto"/>
      </w:pPr>
      <w:r>
        <w:separator/>
      </w:r>
    </w:p>
  </w:endnote>
  <w:endnote w:type="continuationSeparator" w:id="0">
    <w:p w:rsidR="0079691D" w:rsidRDefault="0079691D"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E304AF">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27C0">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1D" w:rsidRDefault="0079691D" w:rsidP="00502DBA">
      <w:pPr>
        <w:spacing w:after="0" w:line="240" w:lineRule="auto"/>
      </w:pPr>
      <w:r>
        <w:separator/>
      </w:r>
    </w:p>
  </w:footnote>
  <w:footnote w:type="continuationSeparator" w:id="0">
    <w:p w:rsidR="0079691D" w:rsidRDefault="0079691D"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873ED1"/>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865B3F"/>
    <w:multiLevelType w:val="multilevel"/>
    <w:tmpl w:val="A56A40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A7B3C9D"/>
    <w:multiLevelType w:val="hybridMultilevel"/>
    <w:tmpl w:val="0848F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101522"/>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nsid w:val="5E25726F"/>
    <w:multiLevelType w:val="hybridMultilevel"/>
    <w:tmpl w:val="FF143DB4"/>
    <w:lvl w:ilvl="0" w:tplc="32AEACB4">
      <w:start w:val="1"/>
      <w:numFmt w:val="decimal"/>
      <w:lvlText w:val="%1."/>
      <w:lvlJc w:val="left"/>
      <w:pPr>
        <w:ind w:left="720" w:hanging="360"/>
      </w:pPr>
      <w:rPr>
        <w:rFonts w:hint="default"/>
        <w:b w:val="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864214"/>
    <w:multiLevelType w:val="hybridMultilevel"/>
    <w:tmpl w:val="4ED46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7"/>
  </w:num>
  <w:num w:numId="4">
    <w:abstractNumId w:val="13"/>
  </w:num>
  <w:num w:numId="5">
    <w:abstractNumId w:val="0"/>
  </w:num>
  <w:num w:numId="6">
    <w:abstractNumId w:val="11"/>
  </w:num>
  <w:num w:numId="7">
    <w:abstractNumId w:val="8"/>
  </w:num>
  <w:num w:numId="8">
    <w:abstractNumId w:val="2"/>
  </w:num>
  <w:num w:numId="9">
    <w:abstractNumId w:val="12"/>
  </w:num>
  <w:num w:numId="10">
    <w:abstractNumId w:val="5"/>
  </w:num>
  <w:num w:numId="11">
    <w:abstractNumId w:val="6"/>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06382"/>
    <w:rsid w:val="000122C9"/>
    <w:rsid w:val="00036ED1"/>
    <w:rsid w:val="00041EF6"/>
    <w:rsid w:val="000702A0"/>
    <w:rsid w:val="00077413"/>
    <w:rsid w:val="000B604B"/>
    <w:rsid w:val="000B72BE"/>
    <w:rsid w:val="000C2B47"/>
    <w:rsid w:val="000D3D6E"/>
    <w:rsid w:val="000E75BF"/>
    <w:rsid w:val="000F0CB8"/>
    <w:rsid w:val="000F3A28"/>
    <w:rsid w:val="00100196"/>
    <w:rsid w:val="00116AEF"/>
    <w:rsid w:val="00120308"/>
    <w:rsid w:val="0012331D"/>
    <w:rsid w:val="00153DF6"/>
    <w:rsid w:val="00155D1C"/>
    <w:rsid w:val="00162C2B"/>
    <w:rsid w:val="00162D09"/>
    <w:rsid w:val="00165677"/>
    <w:rsid w:val="00174D94"/>
    <w:rsid w:val="001829E4"/>
    <w:rsid w:val="00194890"/>
    <w:rsid w:val="001978B4"/>
    <w:rsid w:val="001A5B4E"/>
    <w:rsid w:val="001A7D59"/>
    <w:rsid w:val="001B0547"/>
    <w:rsid w:val="001C4C33"/>
    <w:rsid w:val="001D6E59"/>
    <w:rsid w:val="00200DB5"/>
    <w:rsid w:val="00206FF4"/>
    <w:rsid w:val="002211E5"/>
    <w:rsid w:val="0023772F"/>
    <w:rsid w:val="00257EEA"/>
    <w:rsid w:val="0026038D"/>
    <w:rsid w:val="002627CC"/>
    <w:rsid w:val="0027077E"/>
    <w:rsid w:val="002905BA"/>
    <w:rsid w:val="002918CF"/>
    <w:rsid w:val="0029585D"/>
    <w:rsid w:val="002B0536"/>
    <w:rsid w:val="002C4E40"/>
    <w:rsid w:val="002F5A6F"/>
    <w:rsid w:val="0031057A"/>
    <w:rsid w:val="0031081F"/>
    <w:rsid w:val="00312616"/>
    <w:rsid w:val="00340271"/>
    <w:rsid w:val="00343DBD"/>
    <w:rsid w:val="00353AFD"/>
    <w:rsid w:val="00360E09"/>
    <w:rsid w:val="00377F4E"/>
    <w:rsid w:val="0038573A"/>
    <w:rsid w:val="00395AE0"/>
    <w:rsid w:val="00395B37"/>
    <w:rsid w:val="003B1273"/>
    <w:rsid w:val="003C0FB3"/>
    <w:rsid w:val="00403DB4"/>
    <w:rsid w:val="00421CDD"/>
    <w:rsid w:val="00434C11"/>
    <w:rsid w:val="00445A29"/>
    <w:rsid w:val="00457C40"/>
    <w:rsid w:val="0047052C"/>
    <w:rsid w:val="004718FE"/>
    <w:rsid w:val="004B0FD5"/>
    <w:rsid w:val="004B182A"/>
    <w:rsid w:val="004B46F3"/>
    <w:rsid w:val="004C5E51"/>
    <w:rsid w:val="004D75E3"/>
    <w:rsid w:val="00502DBA"/>
    <w:rsid w:val="005122E0"/>
    <w:rsid w:val="00514612"/>
    <w:rsid w:val="0051496D"/>
    <w:rsid w:val="005225AE"/>
    <w:rsid w:val="0052700D"/>
    <w:rsid w:val="005278E1"/>
    <w:rsid w:val="005A6070"/>
    <w:rsid w:val="005A6FD7"/>
    <w:rsid w:val="005B24F2"/>
    <w:rsid w:val="005B4B25"/>
    <w:rsid w:val="005C005C"/>
    <w:rsid w:val="005C0789"/>
    <w:rsid w:val="005C3E16"/>
    <w:rsid w:val="005D4C59"/>
    <w:rsid w:val="005D5990"/>
    <w:rsid w:val="005F27B0"/>
    <w:rsid w:val="005F4BE1"/>
    <w:rsid w:val="00615440"/>
    <w:rsid w:val="006217CC"/>
    <w:rsid w:val="00621EBC"/>
    <w:rsid w:val="00636DD6"/>
    <w:rsid w:val="006413CD"/>
    <w:rsid w:val="00671CB4"/>
    <w:rsid w:val="0067235A"/>
    <w:rsid w:val="00691692"/>
    <w:rsid w:val="006B24BC"/>
    <w:rsid w:val="006C13E4"/>
    <w:rsid w:val="006F66C5"/>
    <w:rsid w:val="007064BE"/>
    <w:rsid w:val="00713965"/>
    <w:rsid w:val="007155B1"/>
    <w:rsid w:val="00726DC4"/>
    <w:rsid w:val="00735F54"/>
    <w:rsid w:val="0074056D"/>
    <w:rsid w:val="0075732B"/>
    <w:rsid w:val="00767EEE"/>
    <w:rsid w:val="00783686"/>
    <w:rsid w:val="00792E56"/>
    <w:rsid w:val="00793E73"/>
    <w:rsid w:val="007967CE"/>
    <w:rsid w:val="0079691D"/>
    <w:rsid w:val="007A10B9"/>
    <w:rsid w:val="007A5F35"/>
    <w:rsid w:val="007B1566"/>
    <w:rsid w:val="007B27C0"/>
    <w:rsid w:val="007B2DB2"/>
    <w:rsid w:val="007B36F2"/>
    <w:rsid w:val="007B4A22"/>
    <w:rsid w:val="007E013F"/>
    <w:rsid w:val="007E07E4"/>
    <w:rsid w:val="007F0933"/>
    <w:rsid w:val="008024E8"/>
    <w:rsid w:val="008054F7"/>
    <w:rsid w:val="00811E57"/>
    <w:rsid w:val="00814559"/>
    <w:rsid w:val="00816604"/>
    <w:rsid w:val="0083506C"/>
    <w:rsid w:val="00842FD6"/>
    <w:rsid w:val="008477F2"/>
    <w:rsid w:val="00853E2F"/>
    <w:rsid w:val="008568F8"/>
    <w:rsid w:val="0086118C"/>
    <w:rsid w:val="00864071"/>
    <w:rsid w:val="00873857"/>
    <w:rsid w:val="008765DA"/>
    <w:rsid w:val="00882851"/>
    <w:rsid w:val="008A18DD"/>
    <w:rsid w:val="008A5800"/>
    <w:rsid w:val="008B3B51"/>
    <w:rsid w:val="008C0A29"/>
    <w:rsid w:val="008C0ED6"/>
    <w:rsid w:val="008C4D8E"/>
    <w:rsid w:val="00906C9C"/>
    <w:rsid w:val="00910355"/>
    <w:rsid w:val="00913D7A"/>
    <w:rsid w:val="00913F8E"/>
    <w:rsid w:val="009263CF"/>
    <w:rsid w:val="00951BF2"/>
    <w:rsid w:val="00957A4F"/>
    <w:rsid w:val="00961FC2"/>
    <w:rsid w:val="0096452B"/>
    <w:rsid w:val="0097056B"/>
    <w:rsid w:val="00971955"/>
    <w:rsid w:val="00972B88"/>
    <w:rsid w:val="00973DA5"/>
    <w:rsid w:val="009760FE"/>
    <w:rsid w:val="009A27EE"/>
    <w:rsid w:val="009A7BF9"/>
    <w:rsid w:val="009B0418"/>
    <w:rsid w:val="009B76A9"/>
    <w:rsid w:val="009D675D"/>
    <w:rsid w:val="009E5AB1"/>
    <w:rsid w:val="009E6C31"/>
    <w:rsid w:val="009F2758"/>
    <w:rsid w:val="009F2E2E"/>
    <w:rsid w:val="009F6B81"/>
    <w:rsid w:val="00A11008"/>
    <w:rsid w:val="00A13C24"/>
    <w:rsid w:val="00A163C1"/>
    <w:rsid w:val="00A3587A"/>
    <w:rsid w:val="00A3610C"/>
    <w:rsid w:val="00A603D0"/>
    <w:rsid w:val="00A648ED"/>
    <w:rsid w:val="00A70AE3"/>
    <w:rsid w:val="00A719B9"/>
    <w:rsid w:val="00A7557A"/>
    <w:rsid w:val="00A81EBB"/>
    <w:rsid w:val="00A9056F"/>
    <w:rsid w:val="00A9304A"/>
    <w:rsid w:val="00AA4B71"/>
    <w:rsid w:val="00AB36DC"/>
    <w:rsid w:val="00AB450D"/>
    <w:rsid w:val="00AC3A3B"/>
    <w:rsid w:val="00AC3E72"/>
    <w:rsid w:val="00AE2D04"/>
    <w:rsid w:val="00AE4294"/>
    <w:rsid w:val="00AF0EF1"/>
    <w:rsid w:val="00AF465D"/>
    <w:rsid w:val="00B315BA"/>
    <w:rsid w:val="00B36E59"/>
    <w:rsid w:val="00B56706"/>
    <w:rsid w:val="00B60A4F"/>
    <w:rsid w:val="00BA55E9"/>
    <w:rsid w:val="00BA658F"/>
    <w:rsid w:val="00BC3781"/>
    <w:rsid w:val="00BC434C"/>
    <w:rsid w:val="00BC6316"/>
    <w:rsid w:val="00BC769D"/>
    <w:rsid w:val="00BD4DEB"/>
    <w:rsid w:val="00BD64B8"/>
    <w:rsid w:val="00BD6AB8"/>
    <w:rsid w:val="00BD7F35"/>
    <w:rsid w:val="00BE0EBC"/>
    <w:rsid w:val="00BE7EB3"/>
    <w:rsid w:val="00BF1AF0"/>
    <w:rsid w:val="00C1417F"/>
    <w:rsid w:val="00C172D6"/>
    <w:rsid w:val="00C20ACB"/>
    <w:rsid w:val="00C22233"/>
    <w:rsid w:val="00C31E7A"/>
    <w:rsid w:val="00C34CE0"/>
    <w:rsid w:val="00C455C2"/>
    <w:rsid w:val="00C64AFF"/>
    <w:rsid w:val="00CA1795"/>
    <w:rsid w:val="00CA2819"/>
    <w:rsid w:val="00CB0B6B"/>
    <w:rsid w:val="00CB52AC"/>
    <w:rsid w:val="00CB5C40"/>
    <w:rsid w:val="00CC116D"/>
    <w:rsid w:val="00CD04CC"/>
    <w:rsid w:val="00CD7C75"/>
    <w:rsid w:val="00CF3FE0"/>
    <w:rsid w:val="00D04ED3"/>
    <w:rsid w:val="00D71D5B"/>
    <w:rsid w:val="00D72AB3"/>
    <w:rsid w:val="00D9779D"/>
    <w:rsid w:val="00DF08D0"/>
    <w:rsid w:val="00DF173E"/>
    <w:rsid w:val="00DF684D"/>
    <w:rsid w:val="00E044F9"/>
    <w:rsid w:val="00E06EB5"/>
    <w:rsid w:val="00E10E5B"/>
    <w:rsid w:val="00E304AF"/>
    <w:rsid w:val="00E32032"/>
    <w:rsid w:val="00E350C0"/>
    <w:rsid w:val="00E70673"/>
    <w:rsid w:val="00E73393"/>
    <w:rsid w:val="00EB524A"/>
    <w:rsid w:val="00EB5A6F"/>
    <w:rsid w:val="00ED42A5"/>
    <w:rsid w:val="00EF3736"/>
    <w:rsid w:val="00EF37CF"/>
    <w:rsid w:val="00EF61F5"/>
    <w:rsid w:val="00EF6530"/>
    <w:rsid w:val="00F12904"/>
    <w:rsid w:val="00F1427B"/>
    <w:rsid w:val="00F2632D"/>
    <w:rsid w:val="00F27027"/>
    <w:rsid w:val="00F30429"/>
    <w:rsid w:val="00F32224"/>
    <w:rsid w:val="00F40F6E"/>
    <w:rsid w:val="00F4558A"/>
    <w:rsid w:val="00F80451"/>
    <w:rsid w:val="00F857BC"/>
    <w:rsid w:val="00F937E7"/>
    <w:rsid w:val="00F95400"/>
    <w:rsid w:val="00F95E56"/>
    <w:rsid w:val="00F96E3D"/>
    <w:rsid w:val="00FC32BB"/>
    <w:rsid w:val="00FC35B9"/>
    <w:rsid w:val="00FD0C6E"/>
    <w:rsid w:val="00FD2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ips.ligazakon.net/document/view/t150922?ed=2022_08_16"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70" TargetMode="External"/><Relationship Id="rId35" Type="http://schemas.openxmlformats.org/officeDocument/2006/relationships/hyperlink" Target="https://zakon.rada.gov.ua/laws/show/922-1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59E02-8BB3-4DB9-B026-C0E185B7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43761</Words>
  <Characters>24944</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cp:revision>
  <dcterms:created xsi:type="dcterms:W3CDTF">2023-09-18T05:47:00Z</dcterms:created>
  <dcterms:modified xsi:type="dcterms:W3CDTF">2023-09-22T18:30:00Z</dcterms:modified>
</cp:coreProperties>
</file>