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F4" w:rsidRDefault="00307E6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ДОДАТОК 3</w:t>
      </w:r>
    </w:p>
    <w:p w:rsidR="006A55F4" w:rsidRDefault="006A55F4">
      <w:pPr>
        <w:pStyle w:val="ac"/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6A55F4" w:rsidRDefault="00307E61">
      <w:pPr>
        <w:pStyle w:val="ac"/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ІНФОРМАЦІЯ </w:t>
      </w:r>
    </w:p>
    <w:p w:rsidR="006A55F4" w:rsidRDefault="00307E61">
      <w:pPr>
        <w:pStyle w:val="ac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 необхідні технічні, якісні та кількісні характеристики  предмета закупівлі </w:t>
      </w:r>
    </w:p>
    <w:p w:rsidR="006A55F4" w:rsidRDefault="00307E61">
      <w:pPr>
        <w:pStyle w:val="ac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(технічне завдання)</w:t>
      </w:r>
    </w:p>
    <w:p w:rsidR="006A55F4" w:rsidRDefault="00307E61">
      <w:pPr>
        <w:pStyle w:val="ac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Технічна специфікація</w:t>
      </w:r>
    </w:p>
    <w:p w:rsidR="006A55F4" w:rsidRDefault="00307E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ДК 021:2015 – 09310000-5 Електрична енергія (електрична енергія)</w:t>
      </w:r>
    </w:p>
    <w:p w:rsidR="006A55F4" w:rsidRDefault="00307E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Кількість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56508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16917</w:t>
      </w:r>
      <w:r w:rsidR="00754D9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кВт/год.</w:t>
      </w:r>
    </w:p>
    <w:p w:rsidR="006A55F4" w:rsidRDefault="00307E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Строк поставки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31.12.2023 року.</w:t>
      </w:r>
    </w:p>
    <w:p w:rsidR="006A55F4" w:rsidRDefault="00307E61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Перелік операторів системи розподілу, до яких під’єднанні Об’єкти Споживача та в межах яких Споживачем можуть надаватись Постачальнику Заявки: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 «</w:t>
      </w:r>
      <w:r w:rsidR="00D208D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Миколаївобленерго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208D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A55F4" w:rsidRDefault="00307E61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Оплата оператору систем розподілу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здійснюється замовником самостійно відповідному договору з оператором системи розподілу.</w:t>
      </w:r>
    </w:p>
    <w:p w:rsidR="006A55F4" w:rsidRDefault="00307E61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Оплата оператору системи передачі - здійснюється електропостачальником, вартість послуг з передачі включається до вартості електроенергії.</w:t>
      </w:r>
    </w:p>
    <w:p w:rsidR="006A55F4" w:rsidRDefault="006A55F4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708"/>
        <w:gridCol w:w="4114"/>
        <w:gridCol w:w="2125"/>
        <w:gridCol w:w="3118"/>
      </w:tblGrid>
      <w:tr w:rsidR="006A55F4">
        <w:trPr>
          <w:trHeight w:val="568"/>
        </w:trPr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6A55F4" w:rsidRDefault="00307E6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6A55F4" w:rsidRDefault="00307E6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об'єкту</w:t>
            </w:r>
          </w:p>
        </w:tc>
        <w:tc>
          <w:tcPr>
            <w:tcW w:w="2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6A55F4" w:rsidRDefault="00307E6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Од.вим.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A55F4" w:rsidRDefault="00307E6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75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6A55F4">
        <w:trPr>
          <w:trHeight w:val="824"/>
        </w:trPr>
        <w:tc>
          <w:tcPr>
            <w:tcW w:w="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6A55F4" w:rsidRDefault="00307E6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6A55F4" w:rsidRDefault="00D208D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57107 с.Степове Миколаївської обл., Миколаївського р-ну., вул. Козацька 45. Степівський дитячий будинок – інтернат.</w:t>
            </w:r>
          </w:p>
        </w:tc>
        <w:tc>
          <w:tcPr>
            <w:tcW w:w="21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:rsidR="006A55F4" w:rsidRDefault="00307E6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кВт/год.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A55F4" w:rsidRDefault="006A55F4">
            <w:pPr>
              <w:pStyle w:val="af0"/>
              <w:widowControl w:val="0"/>
              <w:snapToGri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A55F4" w:rsidRPr="00754D93" w:rsidRDefault="0056508E">
            <w:pPr>
              <w:pStyle w:val="af0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16917</w:t>
            </w:r>
            <w:bookmarkStart w:id="0" w:name="_GoBack"/>
            <w:bookmarkEnd w:id="0"/>
          </w:p>
        </w:tc>
      </w:tr>
    </w:tbl>
    <w:p w:rsidR="006A55F4" w:rsidRDefault="00307E61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6A55F4" w:rsidRDefault="00307E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Закон України «Про ринок електричної енергії»; </w:t>
      </w:r>
    </w:p>
    <w:p w:rsidR="006A55F4" w:rsidRDefault="00307E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Правила роздрібного ринку електричної енергії, затверджених  постановою Національної комісії, що здійснює державне регулювання у сферах енергетики та комунальних послуг від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14.03.2018 №312</w:t>
      </w:r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постанови Про затвердження Змін до Правил роздрібного ринку електричної енергії,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 26.06.2020  № 1219.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6A55F4" w:rsidRDefault="00307E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Кодекс комерційного обліку електричної енергії;</w:t>
      </w:r>
    </w:p>
    <w:p w:rsidR="006A55F4" w:rsidRDefault="00307E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Кодекс системи розподілу; </w:t>
      </w:r>
    </w:p>
    <w:p w:rsidR="006A55F4" w:rsidRDefault="00307E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Кодекс системи передачі та іншими нормативними актами.</w:t>
      </w:r>
    </w:p>
    <w:p w:rsidR="006A55F4" w:rsidRDefault="00307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6A55F4" w:rsidRDefault="00307E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55F4" w:rsidRDefault="00307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Обсяги споживання електроенергії можуть змінюватися в залежності від режиму роботи устаткування та обладнання Замовника.</w:t>
      </w:r>
    </w:p>
    <w:p w:rsidR="006A55F4" w:rsidRDefault="006A5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</w:p>
    <w:p w:rsidR="006A55F4" w:rsidRDefault="00307E61">
      <w:pPr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З метою можливості оперативного вирішення проблемних питань, які можуть виникати під час купівлі-продажу електричної енергії між електропостачальником та споживачем, у відповідності до вимог п. 8.3.17 та п. 8.3.6. «Правил роздрібного ринку електричної енергії» щодо проведення особистого прийому споживачів, учасник у складі тендерної пропозиції повинен надати: </w:t>
      </w:r>
    </w:p>
    <w:p w:rsidR="006A55F4" w:rsidRDefault="00307E61">
      <w:pPr>
        <w:numPr>
          <w:ilvl w:val="0"/>
          <w:numId w:val="1"/>
        </w:numPr>
        <w:tabs>
          <w:tab w:val="left" w:pos="567"/>
          <w:tab w:val="left" w:pos="1352"/>
          <w:tab w:val="left" w:pos="170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lastRenderedPageBreak/>
        <w:t>Гарантійний лист в довільній формі про те, що учасником виконано вимоги «Правил роздрібного ринку електричної енергії» щодо особистого кабінету споживача, зокрема, що в особистому </w:t>
      </w:r>
      <w:hyperlink r:id="rId6" w:anchor="w123" w:history="1">
        <w:bookmarkStart w:id="1" w:name="w122"/>
        <w:r>
          <w:rPr>
            <w:rFonts w:ascii="Times New Roman" w:hAnsi="Times New Roman"/>
            <w:color w:val="000000"/>
            <w:sz w:val="24"/>
            <w:szCs w:val="24"/>
            <w:lang w:bidi="en-US"/>
          </w:rPr>
          <w:t>кабінет</w:t>
        </w:r>
      </w:hyperlink>
      <w:bookmarkEnd w:id="1"/>
      <w:r>
        <w:rPr>
          <w:rFonts w:ascii="Times New Roman" w:hAnsi="Times New Roman"/>
          <w:color w:val="000000"/>
          <w:sz w:val="24"/>
          <w:szCs w:val="24"/>
          <w:lang w:bidi="en-US"/>
        </w:rPr>
        <w:t>і споживача реалізована технічна можливість донесення до Споживача інформації про: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2" w:name="n1080"/>
      <w:bookmarkEnd w:id="2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діючі ціни (тарифи), за якими здійснюється розрахунок за електричну енергію;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3" w:name="n1081"/>
      <w:bookmarkEnd w:id="3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значення попередніх та поточних показів засобу вимірювання;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4" w:name="n1082"/>
      <w:bookmarkEnd w:id="4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обсяг електричної енергії у порядку надання електропостачальником споживачу даних щодо споживання ними електричної енергії;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5" w:name="n1085"/>
      <w:bookmarkStart w:id="6" w:name="n1084"/>
      <w:bookmarkStart w:id="7" w:name="n1083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надлишок (переплату) оплаченої, але не спожитої електричної енергії або недоплату за спожиту, але не оплачену електричну енергію;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8" w:name="n1086"/>
      <w:bookmarkEnd w:id="8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телефони для подання претензій, скарг та надання повідомлень про загрозу для безпеки експлуатації електросистем;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9" w:name="n1087"/>
      <w:bookmarkEnd w:id="9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реквізити для оплати спожитої електричної енергії (розрахунковий рахунок електропостачальника, номер особового рахунка або номер договору споживача);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10" w:name="n1088"/>
      <w:bookmarkEnd w:id="10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період, за який проводиться розрахунок;</w:t>
      </w:r>
    </w:p>
    <w:p w:rsidR="006A55F4" w:rsidRDefault="00307E61">
      <w:pPr>
        <w:numPr>
          <w:ilvl w:val="0"/>
          <w:numId w:val="2"/>
        </w:numPr>
        <w:shd w:val="clear" w:color="auto" w:fill="FFFFFF"/>
        <w:spacing w:after="0" w:line="259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11" w:name="n1089"/>
      <w:bookmarkEnd w:id="11"/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суму до оплати та дату, до якої необхідно сплатити.</w:t>
      </w:r>
    </w:p>
    <w:p w:rsidR="006A55F4" w:rsidRDefault="00307E61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bookmarkStart w:id="12" w:name="n1092"/>
      <w:bookmarkStart w:id="13" w:name="n1091"/>
      <w:bookmarkStart w:id="14" w:name="n1090"/>
      <w:bookmarkEnd w:id="12"/>
      <w:bookmarkEnd w:id="13"/>
      <w:bookmarkEnd w:id="14"/>
      <w:r>
        <w:rPr>
          <w:rFonts w:ascii="Times New Roman" w:hAnsi="Times New Roman"/>
          <w:color w:val="000000"/>
          <w:sz w:val="24"/>
          <w:szCs w:val="24"/>
          <w:lang w:bidi="en-US"/>
        </w:rPr>
        <w:t>Наведена у гарантійному листі інформація повинна бути достовірною та може бути перевірена замовником.</w:t>
      </w:r>
    </w:p>
    <w:p w:rsidR="006A55F4" w:rsidRDefault="00307E61">
      <w:pPr>
        <w:pStyle w:val="af1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>Учасник повинен надати гарантійний лист про те, що він не знаходиться у статусі «</w:t>
      </w:r>
      <w:r w:rsidR="00754D93">
        <w:rPr>
          <w:rFonts w:ascii="Times New Roman" w:hAnsi="Times New Roman"/>
          <w:color w:val="000000"/>
          <w:sz w:val="24"/>
          <w:szCs w:val="24"/>
          <w:lang w:eastAsia="ru-RU" w:bidi="en-US"/>
        </w:rPr>
        <w:t>дефолт ного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» або «переддефолтного» та зазначена інформація не оприлюднена на сайті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6A55F4" w:rsidRDefault="00307E61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Учасник повинен надати гарантійний лист про те, що в період з 2019р. по 2022р. (включно) він не набував статусу «дефолтного» або «переддефолтного»  та зазначена інформація не була оприлюднена на сайті 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6A55F4" w:rsidRDefault="00307E61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sz w:val="24"/>
          <w:szCs w:val="24"/>
          <w:lang w:bidi="en-US"/>
        </w:rPr>
        <w:t>Учасник повинен надати гарантійний лист підписаний уповноваженою особою, щодо гарантування виконання договірних зобов’язань з постачання електричної енергії, в разі перемоги на торгах. В тому числі, що у разі невиконання або неналежного виконання свого зобов’язання щодо забезпечення постачання електричної енергії, а саме: у разі непогодження оператором системи розподілу (обленерго) зміни постачальника, зважаючи на  що покупець буде змушений укласти договір з постачальником «останньої надії» або у разі набуття постачальником статусу «дефолтного», в зв‘язку з чим постачання електричної енергії покупцю буде здійснюватись постачальником «останньої надії»,  постачальник зобов’язаний відшкодувати різницю між тарифом постачальника «останньої надії» та договірною ціною (тарифом)  договору та повне відшкодування збитків завданих у зв’язку з неможливістю виконання постачальником своїх гарантійних зобов’язань.</w:t>
      </w:r>
    </w:p>
    <w:p w:rsidR="006A55F4" w:rsidRDefault="00307E61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SimSun" w:hAnsi="Times New Roman"/>
          <w:color w:val="000000"/>
          <w:sz w:val="24"/>
          <w:szCs w:val="24"/>
          <w:lang w:bidi="en-US"/>
        </w:rPr>
        <w:t>Учасник у складі своєї тендерної пропозиції надає Лист-гарантію у довільній формі про те, що предмет закупівлі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bidi="en-US"/>
        </w:rPr>
        <w:t xml:space="preserve"> відповідає нормам із захисту довкілля та не спричинить негативного впливу на навколишнє середовище.</w:t>
      </w:r>
    </w:p>
    <w:p w:rsidR="006A55F4" w:rsidRDefault="00307E61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sz w:val="24"/>
          <w:szCs w:val="24"/>
        </w:rPr>
        <w:t xml:space="preserve">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</w:t>
      </w:r>
      <w:r>
        <w:rPr>
          <w:rFonts w:ascii="Times New Roman" w:hAnsi="Times New Roman"/>
          <w:sz w:val="24"/>
          <w:szCs w:val="24"/>
        </w:rPr>
        <w:lastRenderedPageBreak/>
        <w:t>Мінекономрозвитку № 3304-04/13647-06 від 01.04.2019 року. З огляду на це учасники подають у складі тендерної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конкуренції. Серед таких документів повинен міститись наказ підприємства-учасника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закупівель, а також настанови (інструкція або програма) підприємства щодо виконання вказаної політики.</w:t>
      </w:r>
    </w:p>
    <w:p w:rsidR="006A55F4" w:rsidRDefault="00307E61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</w:rPr>
        <w:t>Споживач електричної енергії зацікавлений в отриманні найякіснішої продукції, у зв’язку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9001:2015 «Системи управління якістю. Вимоги» виданого на ім‘я учасника закупівлі або іншим аналогічним державним стандартам в сфері сертифікації діяльності підприємства</w:t>
      </w:r>
      <w:r>
        <w:rPr>
          <w:rFonts w:ascii="Times New Roman" w:hAnsi="Times New Roman"/>
          <w:color w:val="000000"/>
          <w:sz w:val="24"/>
          <w:szCs w:val="24"/>
          <w:lang w:eastAsia="ru-RU" w:bidi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 підтвердження вищезазначеного Учасник повинен надати оригінал або копію документа (сертифікат тощо), який згідно з ДСТУ 9001:2015 (ISO 9001:2015, IDT) «Система управління якістю. Вимоги», який підтверджує впровадження системи управління якістю в учасника як суб’єкта господарювання — юридичної особи стосовно торгівлі електричною енергією (оптової чи роздрібної), виданий акредитованим уповноваженим органом у сфері сертифікації.</w:t>
      </w:r>
    </w:p>
    <w:p w:rsidR="006A55F4" w:rsidRDefault="00307E61">
      <w:pPr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</w:rPr>
        <w:t>Учасники повинні надати оригінал або копію сертифікату відповідності вимогам ДСТУ ISO 14001:2015 (ISO 14001:2015, IDT) «Системи екологічного управління. Вимоги та настанови щодо застосування»,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пропозиції, або іншого сертифікату відповідності національному стандарту, що установлює вимоги до системи управління якістю та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пропозиції. Наданий документ повинен відповідати предмету закупівлі., оригінал або копію чинного сертифіката ДСТУ ISO 37001:2018 «Системи управління щодо протидії корупції. Вимоги та настанови щодо застосування». або аналогічних систем чи більш нових версій стандартів, видані органом з сертифікації на ім’я учасника.</w:t>
      </w:r>
    </w:p>
    <w:p w:rsidR="006A55F4" w:rsidRDefault="00307E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Учасники роздрібного ринку, які обслуговують 50000 споживачів та більше, повинні створити центри обслуговування споживачів, які, у тому числі, приймають звернення/скарги/претензії споживачів, надають роз’яснення та інформацію, передбачену законодавством.</w:t>
      </w:r>
      <w:bookmarkStart w:id="15" w:name="n997"/>
      <w:bookmarkEnd w:id="15"/>
      <w:r>
        <w:rPr>
          <w:rFonts w:ascii="Times New Roman" w:hAnsi="Times New Roman"/>
          <w:color w:val="000000"/>
          <w:sz w:val="24"/>
          <w:szCs w:val="24"/>
        </w:rPr>
        <w:t xml:space="preserve">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ринку, а також може бути створений інформаційно-консультаційний центр та кол-центр, які функціонують відповідно до вимог, установлених Регулятором.</w:t>
      </w:r>
      <w:bookmarkStart w:id="16" w:name="n998"/>
      <w:bookmarkEnd w:id="1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учасників роздрібного ринку, які обслуговують менше 50000 споживачів, створення центрів обслуговування споживачів не є обов’язковим. У такому разі функції центра обслуговування споживачів, зокрема щодо забезпечення дотримання визначеного цими Правилами порядку розгляду звернень/скарг/претензій споживачів, покладаються на окремий структурний підрозділ (посадову особу) учасника роздрібного ринку.</w:t>
      </w:r>
    </w:p>
    <w:p w:rsidR="006A55F4" w:rsidRDefault="00307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 огляду на вищевикладене, Учасник у складі тендерної пропозиції повинен надати довідку в довільній формі про наявність центру обслуговування споживачів, якщо він обслуговує більше 50000 споживачів, або довідку в довільній формі про наявність окремого структурного підрозділу (посадової особи) учасника роздрібного ринку, якщо він обслуговує менше 50000 споживачів. В довідці обов'язково вказати місце розташування, посаду, ПІБ та контактного телефону керівника (посадової особи).</w:t>
      </w:r>
    </w:p>
    <w:p w:rsidR="006A55F4" w:rsidRDefault="00307E61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Наведена у довідці інформація повинна бути достовірною та може бути перевірена замовником.</w:t>
      </w:r>
    </w:p>
    <w:p w:rsidR="006A55F4" w:rsidRDefault="006A55F4">
      <w:pPr>
        <w:pStyle w:val="ac"/>
        <w:spacing w:after="0"/>
        <w:rPr>
          <w:rFonts w:ascii="Times New Roman" w:hAnsi="Times New Roman"/>
          <w:sz w:val="24"/>
          <w:szCs w:val="24"/>
        </w:rPr>
      </w:pPr>
    </w:p>
    <w:p w:rsidR="006A55F4" w:rsidRDefault="00307E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Складені Учасником документи подаються ним на фірмовому бланку Учасника, за власноручним підписом його керівника чи уповноваженої особи Учасника та завіряються печаткою (у разі її наявності).</w:t>
      </w:r>
    </w:p>
    <w:p w:rsidR="006A55F4" w:rsidRDefault="00307E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Документи, подання яких передбачено цим додатком, але які не складаються Учасником, подаються у вигляді сканованого оригіналу або нотаріально посвідченої копії (у разі відсутності оригіналу документа, про що Учасник додатково інформує Замовника у вигляді довідки довільної форми).</w:t>
      </w:r>
    </w:p>
    <w:sectPr w:rsidR="006A55F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350"/>
    <w:multiLevelType w:val="multilevel"/>
    <w:tmpl w:val="8EDE4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C152C"/>
    <w:multiLevelType w:val="multilevel"/>
    <w:tmpl w:val="F3E4034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4E3171A9"/>
    <w:multiLevelType w:val="multilevel"/>
    <w:tmpl w:val="6884ECA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A55F4"/>
    <w:rsid w:val="00307E61"/>
    <w:rsid w:val="0056508E"/>
    <w:rsid w:val="006A55F4"/>
    <w:rsid w:val="00754D93"/>
    <w:rsid w:val="00D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783"/>
  <w15:docId w15:val="{1EA36C46-351A-4797-840E-55AF606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semiHidden/>
    <w:unhideWhenUsed/>
    <w:qFormat/>
    <w:locked/>
    <w:rsid w:val="00A30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locked/>
    <w:rsid w:val="00A30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051E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uiPriority w:val="99"/>
    <w:semiHidden/>
    <w:rsid w:val="00945D99"/>
    <w:rPr>
      <w:rFonts w:cs="Times New Roman"/>
      <w:color w:val="0000FF"/>
      <w:u w:val="single"/>
    </w:rPr>
  </w:style>
  <w:style w:type="character" w:customStyle="1" w:styleId="qowt-font2-timesnewroman">
    <w:name w:val="qowt-font2-timesnewroman"/>
    <w:uiPriority w:val="99"/>
    <w:qFormat/>
    <w:rsid w:val="00DA49F8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E01046"/>
    <w:rPr>
      <w:rFonts w:ascii="Courier New" w:eastAsia="Times New Roman" w:hAnsi="Courier New"/>
      <w:color w:val="000000"/>
      <w:sz w:val="18"/>
      <w:lang w:val="ru-RU" w:eastAsia="ru-RU"/>
    </w:rPr>
  </w:style>
  <w:style w:type="character" w:styleId="a7">
    <w:name w:val="Strong"/>
    <w:basedOn w:val="a0"/>
    <w:uiPriority w:val="22"/>
    <w:qFormat/>
    <w:locked/>
    <w:rsid w:val="00E01046"/>
    <w:rPr>
      <w:rFonts w:cs="Times New Roman"/>
      <w:b/>
    </w:rPr>
  </w:style>
  <w:style w:type="character" w:customStyle="1" w:styleId="20">
    <w:name w:val="Основной текст с отступом 2 Знак"/>
    <w:qFormat/>
    <w:rsid w:val="00E01046"/>
    <w:rPr>
      <w:rFonts w:cs="Calibr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qFormat/>
    <w:rsid w:val="00E01046"/>
    <w:rPr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qFormat/>
    <w:rsid w:val="005E0737"/>
    <w:rPr>
      <w:sz w:val="22"/>
      <w:szCs w:val="22"/>
    </w:rPr>
  </w:style>
  <w:style w:type="character" w:customStyle="1" w:styleId="22">
    <w:name w:val="Заголовок 2 Знак"/>
    <w:basedOn w:val="a0"/>
    <w:link w:val="21"/>
    <w:semiHidden/>
    <w:qFormat/>
    <w:rsid w:val="00A30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qFormat/>
    <w:rsid w:val="00A30A6E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FontStyle22">
    <w:name w:val="Font Style22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9">
    <w:name w:val="Обычный (веб) Знак"/>
    <w:qFormat/>
    <w:locked/>
    <w:rsid w:val="00A30A6E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qFormat/>
    <w:rsid w:val="00A30A6E"/>
  </w:style>
  <w:style w:type="character" w:customStyle="1" w:styleId="FontStyle12">
    <w:name w:val="Font Style12"/>
    <w:basedOn w:val="a0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a">
    <w:name w:val="Абзац списка Знак"/>
    <w:uiPriority w:val="34"/>
    <w:qFormat/>
    <w:locked/>
    <w:rsid w:val="00B13A83"/>
    <w:rPr>
      <w:sz w:val="22"/>
      <w:szCs w:val="22"/>
    </w:rPr>
  </w:style>
  <w:style w:type="character" w:customStyle="1" w:styleId="ng-star-inserted">
    <w:name w:val="ng-star-inserted"/>
    <w:basedOn w:val="a0"/>
    <w:qFormat/>
    <w:rsid w:val="00E912D8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5E0737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qFormat/>
    <w:locked/>
    <w:rsid w:val="00A30A6E"/>
    <w:pPr>
      <w:spacing w:after="0" w:line="240" w:lineRule="auto"/>
      <w:ind w:left="-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A03147"/>
    <w:rPr>
      <w:sz w:val="22"/>
      <w:szCs w:val="22"/>
    </w:rPr>
  </w:style>
  <w:style w:type="paragraph" w:styleId="af1">
    <w:name w:val="List Paragraph"/>
    <w:basedOn w:val="a"/>
    <w:uiPriority w:val="34"/>
    <w:qFormat/>
    <w:rsid w:val="00A0314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8B0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4C49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qFormat/>
    <w:rsid w:val="00945D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Normal (Web)"/>
    <w:basedOn w:val="a"/>
    <w:qFormat/>
    <w:rsid w:val="00DA49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semiHidden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E0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ru-RU" w:eastAsia="ru-RU"/>
    </w:rPr>
  </w:style>
  <w:style w:type="paragraph" w:customStyle="1" w:styleId="af7">
    <w:name w:val="Базовый"/>
    <w:qFormat/>
    <w:rsid w:val="00E01046"/>
    <w:pPr>
      <w:tabs>
        <w:tab w:val="left" w:pos="708"/>
      </w:tabs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8">
    <w:name w:val="a"/>
    <w:basedOn w:val="a"/>
    <w:qFormat/>
    <w:rsid w:val="00E010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unhideWhenUsed/>
    <w:qFormat/>
    <w:rsid w:val="00E01046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Style6">
    <w:name w:val="Style6"/>
    <w:basedOn w:val="a"/>
    <w:qFormat/>
    <w:rsid w:val="00A30A6E"/>
    <w:pPr>
      <w:widowControl w:val="0"/>
      <w:spacing w:after="0" w:line="36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E912D8"/>
    <w:pPr>
      <w:widowControl w:val="0"/>
      <w:spacing w:after="0" w:line="240" w:lineRule="auto"/>
      <w:ind w:left="227"/>
      <w:outlineLvl w:val="1"/>
    </w:pPr>
    <w:rPr>
      <w:rFonts w:ascii="Times New Roman" w:eastAsia="Times New Roman" w:hAnsi="Times New Roman"/>
      <w:b/>
      <w:bCs/>
      <w:sz w:val="20"/>
      <w:szCs w:val="20"/>
      <w:lang w:eastAsia="uk-UA" w:bidi="uk-UA"/>
    </w:rPr>
  </w:style>
  <w:style w:type="paragraph" w:customStyle="1" w:styleId="DefaultStyle">
    <w:name w:val="Default Style"/>
    <w:qFormat/>
    <w:pPr>
      <w:spacing w:after="160" w:line="252" w:lineRule="auto"/>
    </w:pPr>
    <w:rPr>
      <w:rFonts w:cs="Calibri"/>
      <w:color w:val="00000A"/>
      <w:sz w:val="22"/>
      <w:szCs w:val="22"/>
      <w:lang w:val="ru-RU"/>
    </w:rPr>
  </w:style>
  <w:style w:type="paragraph" w:customStyle="1" w:styleId="NoSpacing1">
    <w:name w:val="No Spacing1"/>
    <w:qFormat/>
    <w:pPr>
      <w:widowControl w:val="0"/>
      <w:spacing w:line="100" w:lineRule="atLeast"/>
    </w:pPr>
    <w:rPr>
      <w:rFonts w:eastAsia="Times New Roman" w:cs="Calibri"/>
      <w:color w:val="00000A"/>
      <w:lang w:val="ru-RU" w:eastAsia="ru-RU"/>
    </w:rPr>
  </w:style>
  <w:style w:type="table" w:styleId="af9">
    <w:name w:val="Table Grid"/>
    <w:basedOn w:val="a1"/>
    <w:uiPriority w:val="39"/>
    <w:rsid w:val="008D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312874-18?find=1&amp;text=%EA%E0%E1%B3%ED%E5%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E681-DB93-41C0-B1D9-52AC134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Админ</cp:lastModifiedBy>
  <cp:revision>60</cp:revision>
  <cp:lastPrinted>2019-01-31T08:07:00Z</cp:lastPrinted>
  <dcterms:created xsi:type="dcterms:W3CDTF">2023-06-27T06:41:00Z</dcterms:created>
  <dcterms:modified xsi:type="dcterms:W3CDTF">2023-09-19T10:38:00Z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