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860"/>
        </w:tabs>
        <w:autoSpaceDE w:val="0"/>
        <w:autoSpaceDN w:val="0"/>
        <w:adjustRightInd w:val="0"/>
        <w:spacing w:after="0" w:line="240" w:lineRule="auto"/>
        <w:jc w:val="right"/>
        <w:rPr>
          <w:rFonts w:hint="default"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 xml:space="preserve">Додаток </w:t>
      </w:r>
      <w:r>
        <w:rPr>
          <w:rFonts w:hint="default" w:ascii="Times New Roman" w:hAnsi="Times New Roman" w:eastAsia="Times New Roman" w:cs="Times New Roman"/>
          <w:b/>
          <w:bCs/>
          <w:i/>
          <w:iCs/>
          <w:sz w:val="24"/>
          <w:szCs w:val="24"/>
          <w:lang w:val="uk-UA" w:eastAsia="ru-RU"/>
        </w:rPr>
        <w:t>1</w:t>
      </w:r>
      <w:bookmarkStart w:id="0" w:name="_GoBack"/>
      <w:bookmarkEnd w:id="0"/>
    </w:p>
    <w:p>
      <w:pPr>
        <w:widowControl w:val="0"/>
        <w:tabs>
          <w:tab w:val="left" w:pos="4860"/>
        </w:tabs>
        <w:autoSpaceDE w:val="0"/>
        <w:autoSpaceDN w:val="0"/>
        <w:adjustRightInd w:val="0"/>
        <w:spacing w:after="0" w:line="240" w:lineRule="auto"/>
        <w:jc w:val="right"/>
        <w:rPr>
          <w:rFonts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 xml:space="preserve">до тендерної документації </w:t>
      </w:r>
    </w:p>
    <w:p>
      <w:pPr>
        <w:spacing w:after="0" w:line="240" w:lineRule="auto"/>
        <w:jc w:val="center"/>
        <w:outlineLvl w:val="0"/>
        <w:rPr>
          <w:rFonts w:ascii="Times New Roman" w:hAnsi="Times New Roman" w:eastAsia="Times New Roman" w:cs="Times New Roman"/>
          <w:b/>
          <w:bCs/>
          <w:i/>
          <w:iCs/>
          <w:sz w:val="24"/>
          <w:szCs w:val="24"/>
          <w:lang w:val="uk-UA" w:eastAsia="ru-RU"/>
        </w:rPr>
      </w:pPr>
    </w:p>
    <w:p>
      <w:pPr>
        <w:spacing w:after="0" w:line="240" w:lineRule="auto"/>
        <w:jc w:val="center"/>
        <w:outlineLvl w:val="0"/>
        <w:rPr>
          <w:rFonts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МЕДИКО-ТЕХНІЧНІ ВИМОГИ</w:t>
      </w:r>
    </w:p>
    <w:p>
      <w:pPr>
        <w:spacing w:after="0" w:line="240" w:lineRule="auto"/>
        <w:jc w:val="center"/>
        <w:outlineLvl w:val="0"/>
        <w:rPr>
          <w:rFonts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на закупівлю по предмету</w:t>
      </w:r>
    </w:p>
    <w:p>
      <w:pPr>
        <w:spacing w:after="0" w:line="240" w:lineRule="auto"/>
        <w:jc w:val="center"/>
        <w:outlineLvl w:val="0"/>
        <w:rPr>
          <w:rFonts w:ascii="Times New Roman" w:hAnsi="Times New Roman" w:eastAsia="Times New Roman" w:cs="Times New Roman"/>
          <w:b/>
          <w:bCs/>
          <w:i/>
          <w:iCs/>
          <w:lang w:val="uk-UA" w:eastAsia="ru-RU"/>
        </w:rPr>
      </w:pP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
          <w:bCs/>
          <w:i/>
          <w:iCs/>
          <w:lang w:val="uk-UA" w:eastAsia="ru-RU"/>
        </w:rPr>
        <w:tab/>
      </w:r>
      <w:r>
        <w:rPr>
          <w:rFonts w:ascii="Times New Roman" w:hAnsi="Times New Roman" w:eastAsia="Times New Roman" w:cs="Times New Roman"/>
          <w:bCs/>
          <w:iCs/>
          <w:lang w:val="uk-UA" w:eastAsia="ru-RU"/>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2.    Товар має бути зареєстрований в Україні (надати декларацію про відповідність).</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4.</w:t>
      </w: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pPr>
        <w:spacing w:after="0" w:line="240" w:lineRule="auto"/>
        <w:ind w:firstLine="708"/>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Pr>
          <w:rFonts w:ascii="Times New Roman" w:hAnsi="Times New Roman" w:eastAsia="Times New Roman" w:cs="Times New Roman"/>
          <w:bCs/>
          <w:iCs/>
          <w:lang w:val="en-US" w:eastAsia="ru-RU"/>
        </w:rPr>
        <w:t xml:space="preserve"> </w:t>
      </w:r>
      <w:r>
        <w:rPr>
          <w:rFonts w:ascii="Times New Roman" w:hAnsi="Times New Roman" w:eastAsia="Times New Roman" w:cs="Times New Roman"/>
          <w:bCs/>
          <w:iCs/>
          <w:lang w:val="uk-UA" w:eastAsia="ru-RU"/>
        </w:rPr>
        <w:t>згідно ДК.</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 xml:space="preserve">8. Дозування, форма випуску, концентрація </w:t>
      </w:r>
      <w:r>
        <w:rPr>
          <w:rFonts w:ascii="Times New Roman" w:hAnsi="Times New Roman" w:eastAsia="Times New Roman" w:cs="Times New Roman"/>
          <w:bCs/>
          <w:iCs/>
          <w:lang w:val="en-US" w:eastAsia="ru-RU"/>
        </w:rPr>
        <w:t>n</w:t>
      </w:r>
      <w:r>
        <w:rPr>
          <w:rFonts w:ascii="Times New Roman" w:hAnsi="Times New Roman" w:eastAsia="Times New Roman" w:cs="Times New Roman"/>
          <w:bCs/>
          <w:iCs/>
          <w:lang w:val="uk-UA" w:eastAsia="ru-RU"/>
        </w:rPr>
        <w:t>овару повинні відповідати специфікації заявленому переліку.</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9.  Товар поставляється згідно заявки протягом 7 календарних днів з моменту отримання заявки від Замовника.</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pPr>
        <w:spacing w:after="0" w:line="240" w:lineRule="auto"/>
        <w:outlineLvl w:val="0"/>
        <w:rPr>
          <w:rFonts w:ascii="Times New Roman" w:hAnsi="Times New Roman" w:eastAsia="Times New Roman" w:cs="Times New Roman"/>
          <w:bCs/>
          <w:iCs/>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11. Неякісний товар підлягає обов’зковій заміні, але всі витрати пов’язані із заміною товару несе постачальник.</w:t>
      </w:r>
    </w:p>
    <w:p>
      <w:pPr>
        <w:spacing w:after="0" w:line="240" w:lineRule="auto"/>
        <w:jc w:val="center"/>
        <w:outlineLvl w:val="0"/>
        <w:rPr>
          <w:rFonts w:ascii="Times New Roman" w:hAnsi="Times New Roman" w:eastAsia="Times New Roman" w:cs="Times New Roman"/>
          <w:bCs/>
          <w:iCs/>
          <w:sz w:val="24"/>
          <w:szCs w:val="24"/>
          <w:lang w:val="uk-UA" w:eastAsia="ru-RU"/>
        </w:rPr>
      </w:pPr>
      <w:r>
        <w:rPr>
          <w:rFonts w:ascii="Times New Roman" w:hAnsi="Times New Roman" w:eastAsia="Times New Roman" w:cs="Times New Roman"/>
          <w:bCs/>
          <w:iCs/>
          <w:lang w:val="uk-UA" w:eastAsia="ru-RU"/>
        </w:rPr>
        <w:tab/>
      </w:r>
      <w:r>
        <w:rPr>
          <w:rFonts w:ascii="Times New Roman" w:hAnsi="Times New Roman" w:eastAsia="Times New Roman" w:cs="Times New Roman"/>
          <w:bCs/>
          <w:iCs/>
          <w:lang w:val="uk-UA" w:eastAsia="ru-RU"/>
        </w:rPr>
        <w:t>12. Тендерна пропозиція, що не відповідає медико - технічним вимогам, викладеним у цьому</w:t>
      </w:r>
      <w:r>
        <w:rPr>
          <w:rFonts w:ascii="Times New Roman" w:hAnsi="Times New Roman" w:eastAsia="Times New Roman" w:cs="Times New Roman"/>
          <w:bCs/>
          <w:iCs/>
          <w:sz w:val="24"/>
          <w:szCs w:val="24"/>
          <w:lang w:val="uk-UA" w:eastAsia="ru-RU"/>
        </w:rPr>
        <w:t xml:space="preserve"> пункті буде відхилена як така, що не відповідає вимогам Документації тендерної пропозиції</w:t>
      </w:r>
    </w:p>
    <w:p>
      <w:pPr>
        <w:rPr>
          <w:lang w:val="en-US"/>
        </w:rPr>
      </w:pPr>
    </w:p>
    <w:p>
      <w:pPr>
        <w:spacing w:after="0" w:line="240" w:lineRule="auto"/>
        <w:jc w:val="center"/>
        <w:outlineLvl w:val="0"/>
        <w:rPr>
          <w:rFonts w:ascii="Times New Roman" w:hAnsi="Times New Roman" w:eastAsia="Times New Roman" w:cs="Times New Roman"/>
          <w:b/>
          <w:sz w:val="24"/>
          <w:szCs w:val="24"/>
          <w:lang w:val="uk-UA" w:eastAsia="ru-RU"/>
        </w:rPr>
      </w:pPr>
    </w:p>
    <w:tbl>
      <w:tblPr>
        <w:tblStyle w:val="7"/>
        <w:tblW w:w="11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701"/>
        <w:gridCol w:w="4111"/>
        <w:gridCol w:w="992"/>
        <w:gridCol w:w="709"/>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534" w:type="dxa"/>
            <w:tcBorders>
              <w:bottom w:val="single" w:color="auto" w:sz="4" w:space="0"/>
            </w:tcBorders>
            <w:shd w:val="clear" w:color="auto" w:fill="auto"/>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№з/п</w:t>
            </w:r>
          </w:p>
        </w:tc>
        <w:tc>
          <w:tcPr>
            <w:tcW w:w="2126" w:type="dxa"/>
            <w:tcBorders>
              <w:bottom w:val="single" w:color="auto" w:sz="4" w:space="0"/>
            </w:tcBorders>
            <w:shd w:val="clear" w:color="auto" w:fill="auto"/>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Найменування</w:t>
            </w:r>
          </w:p>
        </w:tc>
        <w:tc>
          <w:tcPr>
            <w:tcW w:w="1701" w:type="dxa"/>
            <w:shd w:val="clear" w:color="auto" w:fill="auto"/>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Код згідно класифікатора НК 024:2019 "Класифікатор медичних виробів"</w:t>
            </w:r>
          </w:p>
        </w:tc>
        <w:tc>
          <w:tcPr>
            <w:tcW w:w="4111" w:type="dxa"/>
            <w:shd w:val="clear" w:color="auto" w:fill="auto"/>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Технічні характеристики</w:t>
            </w:r>
          </w:p>
        </w:tc>
        <w:tc>
          <w:tcPr>
            <w:tcW w:w="992" w:type="dxa"/>
            <w:tcBorders>
              <w:bottom w:val="single" w:color="auto" w:sz="4" w:space="0"/>
            </w:tcBorders>
            <w:shd w:val="clear" w:color="auto" w:fill="auto"/>
            <w:vAlign w:val="center"/>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Кількість</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Од</w:t>
            </w:r>
            <w:r>
              <w:rPr>
                <w:rFonts w:ascii="Times New Roman" w:hAnsi="Times New Roman" w:cs="Times New Roman"/>
                <w:b/>
                <w:bCs/>
                <w:sz w:val="24"/>
                <w:szCs w:val="24"/>
                <w:lang w:val="uk-UA"/>
              </w:rPr>
              <w:t>иниці виміру</w:t>
            </w:r>
          </w:p>
        </w:tc>
        <w:tc>
          <w:tcPr>
            <w:tcW w:w="956" w:type="dxa"/>
            <w:shd w:val="clear" w:color="auto" w:fill="auto"/>
          </w:tcPr>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Відповідність технічним характеристикам</w:t>
            </w:r>
          </w:p>
          <w:p>
            <w:pPr>
              <w:spacing w:after="0" w:line="240" w:lineRule="auto"/>
              <w:jc w:val="center"/>
              <w:outlineLvl w:val="0"/>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так/ні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Times New Roman" w:hAnsi="Times New Roman" w:cs="Times New Roman"/>
                <w:sz w:val="20"/>
                <w:szCs w:val="20"/>
              </w:rPr>
            </w:pPr>
            <w:r>
              <w:rPr>
                <w:rFonts w:ascii="Times New Roman" w:hAnsi="Times New Roman" w:cs="Times New Roman"/>
                <w:sz w:val="16"/>
                <w:szCs w:val="16"/>
              </w:rPr>
              <w:t>1</w:t>
            </w:r>
          </w:p>
        </w:tc>
        <w:tc>
          <w:tcPr>
            <w:tcW w:w="2126" w:type="dxa"/>
            <w:tcBorders>
              <w:top w:val="single" w:color="auto" w:sz="4" w:space="0"/>
              <w:left w:val="nil"/>
              <w:bottom w:val="single" w:color="auto" w:sz="4" w:space="0"/>
              <w:right w:val="nil"/>
            </w:tcBorders>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Набір фарб по Граму </w:t>
            </w:r>
          </w:p>
        </w:tc>
        <w:tc>
          <w:tcPr>
            <w:tcW w:w="1701" w:type="dxa"/>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uk-UA" w:eastAsia="ru-RU"/>
              </w:rPr>
              <w:t>43733 Набір фарбування по Граму</w:t>
            </w:r>
          </w:p>
        </w:tc>
        <w:tc>
          <w:tcPr>
            <w:tcW w:w="4111" w:type="dxa"/>
          </w:tcPr>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ТУ  У  24.4-24607793-024:2011</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ПОКАЗНИКИ  ЯКОСТІ:</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r>
              <w:rPr>
                <w:rFonts w:ascii="Times New Roman" w:hAnsi="Times New Roman" w:cs="Times New Roman"/>
                <w:sz w:val="20"/>
                <w:szCs w:val="20"/>
                <w:lang w:val="uk-UA" w:eastAsia="ru-RU"/>
              </w:rPr>
              <w:tab/>
            </w:r>
            <w:r>
              <w:rPr>
                <w:rFonts w:ascii="Times New Roman" w:hAnsi="Times New Roman" w:cs="Times New Roman"/>
                <w:sz w:val="20"/>
                <w:szCs w:val="20"/>
                <w:lang w:val="uk-UA" w:eastAsia="ru-RU"/>
              </w:rPr>
              <w:t>Зовнішний вигляд компонентів набору:</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1.1.Карболовий розчин генціану фіолетового  - фіолетовий розчин.</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1.2.Розчин Люголя – коричневий розчин.</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1.3.Карболовий розчин фуксіна Ціля – червоно-фіолетовий розчин.</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 Показники правильності         визначення:</w:t>
            </w:r>
          </w:p>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2.1.Перевірка справжності компонентів набору – випробування відповідно пункту 6.4.4 ТУ.</w:t>
            </w:r>
          </w:p>
          <w:p>
            <w:pPr>
              <w:spacing w:after="0" w:line="240" w:lineRule="auto"/>
              <w:outlineLvl w:val="0"/>
              <w:rPr>
                <w:rFonts w:ascii="Times New Roman" w:hAnsi="Times New Roman" w:cs="Times New Roman"/>
                <w:bCs/>
                <w:sz w:val="20"/>
                <w:szCs w:val="20"/>
                <w:lang w:val="uk-UA" w:eastAsia="ru-RU"/>
              </w:rPr>
            </w:pPr>
            <w:r>
              <w:rPr>
                <w:rFonts w:ascii="Times New Roman" w:hAnsi="Times New Roman" w:cs="Times New Roman"/>
                <w:sz w:val="20"/>
                <w:szCs w:val="20"/>
                <w:lang w:val="uk-UA" w:eastAsia="ru-RU"/>
              </w:rPr>
              <w:t>Температура зберігання +2ºС - +25ºС.</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4,000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наб.</w:t>
            </w:r>
          </w:p>
        </w:tc>
        <w:tc>
          <w:tcPr>
            <w:tcW w:w="956" w:type="dxa"/>
          </w:tcPr>
          <w:p>
            <w:pPr>
              <w:spacing w:after="0" w:line="240" w:lineRule="auto"/>
              <w:jc w:val="center"/>
              <w:outlineLvl w:val="0"/>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Times New Roman" w:hAnsi="Times New Roman" w:cs="Times New Roman"/>
                <w:sz w:val="20"/>
                <w:szCs w:val="20"/>
              </w:rPr>
            </w:pPr>
            <w:r>
              <w:rPr>
                <w:rFonts w:ascii="Times New Roman" w:hAnsi="Times New Roman" w:cs="Times New Roman"/>
                <w:sz w:val="16"/>
                <w:szCs w:val="16"/>
              </w:rPr>
              <w:t>2</w:t>
            </w:r>
          </w:p>
        </w:tc>
        <w:tc>
          <w:tcPr>
            <w:tcW w:w="2126" w:type="dxa"/>
            <w:tcBorders>
              <w:top w:val="single" w:color="auto" w:sz="4" w:space="0"/>
              <w:left w:val="nil"/>
              <w:bottom w:val="single" w:color="auto" w:sz="4" w:space="0"/>
              <w:right w:val="nil"/>
            </w:tcBorders>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Набір реагентів для виготовлення індикатора Андреде, на 100 мл індикатора</w:t>
            </w:r>
          </w:p>
        </w:tc>
        <w:tc>
          <w:tcPr>
            <w:tcW w:w="170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43720</w:t>
            </w:r>
          </w:p>
        </w:tc>
        <w:tc>
          <w:tcPr>
            <w:tcW w:w="411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imes New Roman" w:hAnsi="Times New Roman" w:cs="Times New Roman"/>
                <w:sz w:val="20"/>
                <w:szCs w:val="20"/>
                <w:lang w:val="uk-UA" w:eastAsia="ru-RU"/>
              </w:rPr>
            </w:pPr>
            <w:r>
              <w:rPr>
                <w:rFonts w:ascii="Times New Roman" w:hAnsi="Times New Roman" w:cs="Times New Roman"/>
                <w:sz w:val="20"/>
                <w:szCs w:val="20"/>
                <w:lang w:val="uk-UA"/>
              </w:rPr>
              <w:t>Набір реагентів для виготовлення індикатора Андреде, на 100 мл індикатора</w:t>
            </w:r>
          </w:p>
        </w:tc>
        <w:tc>
          <w:tcPr>
            <w:tcW w:w="992"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2,000</w:t>
            </w:r>
          </w:p>
        </w:tc>
        <w:tc>
          <w:tcPr>
            <w:tcW w:w="709" w:type="dxa"/>
            <w:tcBorders>
              <w:top w:val="nil"/>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упак.</w:t>
            </w:r>
          </w:p>
        </w:tc>
        <w:tc>
          <w:tcPr>
            <w:tcW w:w="956" w:type="dxa"/>
          </w:tcPr>
          <w:p>
            <w:pPr>
              <w:spacing w:after="0" w:line="240" w:lineRule="auto"/>
              <w:jc w:val="center"/>
              <w:outlineLvl w:val="0"/>
              <w:rPr>
                <w:rFonts w:ascii="Times New Roman" w:hAnsi="Times New Roman" w:eastAsia="Times New Roman" w:cs="Times New Roman"/>
                <w:sz w:val="24"/>
                <w:szCs w:val="24"/>
                <w:lang w:val="uk-UA" w:eastAsia="ru-RU"/>
              </w:rPr>
            </w:pPr>
          </w:p>
        </w:tc>
      </w:tr>
    </w:tbl>
    <w:p>
      <w:pPr>
        <w:rPr>
          <w:rFonts w:ascii="Times New Roman" w:hAnsi="Times New Roman" w:cs="Times New Roman"/>
          <w:sz w:val="24"/>
          <w:szCs w:val="24"/>
          <w:lang w:val="en-US"/>
        </w:rPr>
      </w:pPr>
    </w:p>
    <w:p>
      <w:pPr>
        <w:rPr>
          <w:rFonts w:ascii="Times New Roman" w:hAnsi="Times New Roman" w:cs="Times New Roman"/>
          <w:sz w:val="24"/>
          <w:szCs w:val="24"/>
          <w:lang w:val="uk-UA"/>
        </w:rPr>
      </w:pPr>
      <w:r>
        <w:rPr>
          <w:rFonts w:ascii="Times New Roman" w:hAnsi="Times New Roman" w:cs="Times New Roman"/>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pPr>
        <w:rPr>
          <w:rFonts w:ascii="Times New Roman" w:hAnsi="Times New Roman" w:cs="Times New Roman"/>
          <w:sz w:val="24"/>
          <w:szCs w:val="24"/>
          <w:lang w:val="uk-UA"/>
        </w:rPr>
      </w:pPr>
      <w:r>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w:t>
      </w:r>
    </w:p>
    <w:sectPr>
      <w:footerReference r:id="rId5" w:type="default"/>
      <w:footerReference r:id="rId6" w:type="even"/>
      <w:pgSz w:w="11906" w:h="16838"/>
      <w:pgMar w:top="284" w:right="567" w:bottom="567" w:left="99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3054"/>
    <w:rsid w:val="00011730"/>
    <w:rsid w:val="00035B64"/>
    <w:rsid w:val="0005267D"/>
    <w:rsid w:val="0005532D"/>
    <w:rsid w:val="00060538"/>
    <w:rsid w:val="00077833"/>
    <w:rsid w:val="00082D8E"/>
    <w:rsid w:val="000873B9"/>
    <w:rsid w:val="000A28D4"/>
    <w:rsid w:val="000A3F4F"/>
    <w:rsid w:val="000A52B3"/>
    <w:rsid w:val="000A724A"/>
    <w:rsid w:val="000C1037"/>
    <w:rsid w:val="000D0023"/>
    <w:rsid w:val="000D4A22"/>
    <w:rsid w:val="000E280C"/>
    <w:rsid w:val="000E4254"/>
    <w:rsid w:val="000F0934"/>
    <w:rsid w:val="001042F3"/>
    <w:rsid w:val="00110669"/>
    <w:rsid w:val="001145BE"/>
    <w:rsid w:val="00114ED8"/>
    <w:rsid w:val="001204F1"/>
    <w:rsid w:val="00133638"/>
    <w:rsid w:val="001342D6"/>
    <w:rsid w:val="00137480"/>
    <w:rsid w:val="0014042F"/>
    <w:rsid w:val="00142E01"/>
    <w:rsid w:val="00143788"/>
    <w:rsid w:val="00144225"/>
    <w:rsid w:val="00155DA5"/>
    <w:rsid w:val="001708D3"/>
    <w:rsid w:val="001847D7"/>
    <w:rsid w:val="0019294C"/>
    <w:rsid w:val="00194E96"/>
    <w:rsid w:val="00196912"/>
    <w:rsid w:val="001A77B5"/>
    <w:rsid w:val="001B3600"/>
    <w:rsid w:val="001D0483"/>
    <w:rsid w:val="001D179B"/>
    <w:rsid w:val="001D7D16"/>
    <w:rsid w:val="001E4E68"/>
    <w:rsid w:val="001E7847"/>
    <w:rsid w:val="001F0A35"/>
    <w:rsid w:val="001F51D3"/>
    <w:rsid w:val="001F5461"/>
    <w:rsid w:val="002027C5"/>
    <w:rsid w:val="00223951"/>
    <w:rsid w:val="00232961"/>
    <w:rsid w:val="002355ED"/>
    <w:rsid w:val="002356A7"/>
    <w:rsid w:val="00242404"/>
    <w:rsid w:val="00250C59"/>
    <w:rsid w:val="00260332"/>
    <w:rsid w:val="00263B47"/>
    <w:rsid w:val="00265150"/>
    <w:rsid w:val="00282A0F"/>
    <w:rsid w:val="00285A19"/>
    <w:rsid w:val="00293D3A"/>
    <w:rsid w:val="00294C5A"/>
    <w:rsid w:val="002951AE"/>
    <w:rsid w:val="002A0F62"/>
    <w:rsid w:val="002A2F39"/>
    <w:rsid w:val="002B34EF"/>
    <w:rsid w:val="002B5891"/>
    <w:rsid w:val="002B7E3F"/>
    <w:rsid w:val="002C714A"/>
    <w:rsid w:val="002D1653"/>
    <w:rsid w:val="002D61C5"/>
    <w:rsid w:val="002F1AA6"/>
    <w:rsid w:val="002F4472"/>
    <w:rsid w:val="0030777D"/>
    <w:rsid w:val="00307DE0"/>
    <w:rsid w:val="0031077C"/>
    <w:rsid w:val="003116BB"/>
    <w:rsid w:val="003146E0"/>
    <w:rsid w:val="00317A27"/>
    <w:rsid w:val="00323CA7"/>
    <w:rsid w:val="00330C41"/>
    <w:rsid w:val="003400B9"/>
    <w:rsid w:val="00361ABB"/>
    <w:rsid w:val="003655DD"/>
    <w:rsid w:val="00366EF9"/>
    <w:rsid w:val="00373976"/>
    <w:rsid w:val="00380479"/>
    <w:rsid w:val="003809FC"/>
    <w:rsid w:val="00390902"/>
    <w:rsid w:val="003948E4"/>
    <w:rsid w:val="003A1AAB"/>
    <w:rsid w:val="003B508F"/>
    <w:rsid w:val="003C57A4"/>
    <w:rsid w:val="003E1A4D"/>
    <w:rsid w:val="003E303C"/>
    <w:rsid w:val="003E6750"/>
    <w:rsid w:val="00413FDD"/>
    <w:rsid w:val="004315A0"/>
    <w:rsid w:val="00440E0B"/>
    <w:rsid w:val="004544E8"/>
    <w:rsid w:val="00460D97"/>
    <w:rsid w:val="00462B22"/>
    <w:rsid w:val="004645E9"/>
    <w:rsid w:val="004647EC"/>
    <w:rsid w:val="00474109"/>
    <w:rsid w:val="004745C1"/>
    <w:rsid w:val="00485EDB"/>
    <w:rsid w:val="00495E89"/>
    <w:rsid w:val="004B2646"/>
    <w:rsid w:val="004B35C9"/>
    <w:rsid w:val="004C75DE"/>
    <w:rsid w:val="004D57DF"/>
    <w:rsid w:val="004D59A7"/>
    <w:rsid w:val="004D5E16"/>
    <w:rsid w:val="004E655D"/>
    <w:rsid w:val="00516153"/>
    <w:rsid w:val="00517EDE"/>
    <w:rsid w:val="0053507D"/>
    <w:rsid w:val="00547739"/>
    <w:rsid w:val="00552CC8"/>
    <w:rsid w:val="005646BF"/>
    <w:rsid w:val="00564EE8"/>
    <w:rsid w:val="0057270E"/>
    <w:rsid w:val="0057514F"/>
    <w:rsid w:val="005B2C55"/>
    <w:rsid w:val="005B33A6"/>
    <w:rsid w:val="005C08F7"/>
    <w:rsid w:val="005C6377"/>
    <w:rsid w:val="005C6591"/>
    <w:rsid w:val="005D4DCB"/>
    <w:rsid w:val="005E0BA3"/>
    <w:rsid w:val="005E769A"/>
    <w:rsid w:val="005F288C"/>
    <w:rsid w:val="006056F6"/>
    <w:rsid w:val="0061786A"/>
    <w:rsid w:val="00620B67"/>
    <w:rsid w:val="00622C60"/>
    <w:rsid w:val="0063107C"/>
    <w:rsid w:val="00631AC0"/>
    <w:rsid w:val="006423B2"/>
    <w:rsid w:val="006437BE"/>
    <w:rsid w:val="0064776D"/>
    <w:rsid w:val="00653D95"/>
    <w:rsid w:val="00656155"/>
    <w:rsid w:val="00656F32"/>
    <w:rsid w:val="00660D99"/>
    <w:rsid w:val="00676221"/>
    <w:rsid w:val="006805D3"/>
    <w:rsid w:val="00680F2F"/>
    <w:rsid w:val="00690DA9"/>
    <w:rsid w:val="006B1271"/>
    <w:rsid w:val="006B3954"/>
    <w:rsid w:val="006C515E"/>
    <w:rsid w:val="006D1D55"/>
    <w:rsid w:val="006D27F0"/>
    <w:rsid w:val="006E0B8B"/>
    <w:rsid w:val="006E397A"/>
    <w:rsid w:val="006E3A3C"/>
    <w:rsid w:val="006E757C"/>
    <w:rsid w:val="006F731F"/>
    <w:rsid w:val="0070180F"/>
    <w:rsid w:val="00701C82"/>
    <w:rsid w:val="007111B9"/>
    <w:rsid w:val="007257BC"/>
    <w:rsid w:val="007363F3"/>
    <w:rsid w:val="007617D8"/>
    <w:rsid w:val="007802AD"/>
    <w:rsid w:val="007870DF"/>
    <w:rsid w:val="00792183"/>
    <w:rsid w:val="007A2DB5"/>
    <w:rsid w:val="007B205F"/>
    <w:rsid w:val="007B6A37"/>
    <w:rsid w:val="007D108B"/>
    <w:rsid w:val="007E22C9"/>
    <w:rsid w:val="007E67AC"/>
    <w:rsid w:val="007F3D0D"/>
    <w:rsid w:val="007F5BE5"/>
    <w:rsid w:val="00802ED8"/>
    <w:rsid w:val="00807CB6"/>
    <w:rsid w:val="0081126F"/>
    <w:rsid w:val="00811F10"/>
    <w:rsid w:val="008168BD"/>
    <w:rsid w:val="00845F43"/>
    <w:rsid w:val="00854CC3"/>
    <w:rsid w:val="00881682"/>
    <w:rsid w:val="00892A0C"/>
    <w:rsid w:val="00892B99"/>
    <w:rsid w:val="00894D00"/>
    <w:rsid w:val="00896819"/>
    <w:rsid w:val="008A684E"/>
    <w:rsid w:val="008B2006"/>
    <w:rsid w:val="008B53EE"/>
    <w:rsid w:val="008B61CF"/>
    <w:rsid w:val="008C30EA"/>
    <w:rsid w:val="008C3BA2"/>
    <w:rsid w:val="008C5992"/>
    <w:rsid w:val="008C68BE"/>
    <w:rsid w:val="008D4FC2"/>
    <w:rsid w:val="008E549D"/>
    <w:rsid w:val="008E5BB3"/>
    <w:rsid w:val="008E68EC"/>
    <w:rsid w:val="00900415"/>
    <w:rsid w:val="00911DC0"/>
    <w:rsid w:val="00913180"/>
    <w:rsid w:val="009309C8"/>
    <w:rsid w:val="009360A5"/>
    <w:rsid w:val="0094462F"/>
    <w:rsid w:val="00962882"/>
    <w:rsid w:val="009648BC"/>
    <w:rsid w:val="0097126B"/>
    <w:rsid w:val="009741DE"/>
    <w:rsid w:val="009809D6"/>
    <w:rsid w:val="009869C7"/>
    <w:rsid w:val="009935CF"/>
    <w:rsid w:val="009959F1"/>
    <w:rsid w:val="009A090C"/>
    <w:rsid w:val="009A702A"/>
    <w:rsid w:val="009B3123"/>
    <w:rsid w:val="009C6118"/>
    <w:rsid w:val="009D184F"/>
    <w:rsid w:val="009D7949"/>
    <w:rsid w:val="009D7C69"/>
    <w:rsid w:val="009E3D70"/>
    <w:rsid w:val="00A01281"/>
    <w:rsid w:val="00A1101C"/>
    <w:rsid w:val="00A23B29"/>
    <w:rsid w:val="00A36D21"/>
    <w:rsid w:val="00A40CAB"/>
    <w:rsid w:val="00A43931"/>
    <w:rsid w:val="00A45F67"/>
    <w:rsid w:val="00A55975"/>
    <w:rsid w:val="00A65325"/>
    <w:rsid w:val="00A70920"/>
    <w:rsid w:val="00A80B78"/>
    <w:rsid w:val="00A80D71"/>
    <w:rsid w:val="00A824B0"/>
    <w:rsid w:val="00A84B0E"/>
    <w:rsid w:val="00A85362"/>
    <w:rsid w:val="00A936C4"/>
    <w:rsid w:val="00A944F4"/>
    <w:rsid w:val="00AB65F7"/>
    <w:rsid w:val="00AC59C0"/>
    <w:rsid w:val="00AD5240"/>
    <w:rsid w:val="00AE0031"/>
    <w:rsid w:val="00AE00F8"/>
    <w:rsid w:val="00AE37EC"/>
    <w:rsid w:val="00AE40F9"/>
    <w:rsid w:val="00AF6054"/>
    <w:rsid w:val="00B14710"/>
    <w:rsid w:val="00B17CAC"/>
    <w:rsid w:val="00B256F1"/>
    <w:rsid w:val="00B30F82"/>
    <w:rsid w:val="00B37AC4"/>
    <w:rsid w:val="00B61236"/>
    <w:rsid w:val="00B72272"/>
    <w:rsid w:val="00B73ECB"/>
    <w:rsid w:val="00B75B5F"/>
    <w:rsid w:val="00B903E8"/>
    <w:rsid w:val="00B960A2"/>
    <w:rsid w:val="00BA0FBD"/>
    <w:rsid w:val="00BA5752"/>
    <w:rsid w:val="00BA5AB4"/>
    <w:rsid w:val="00BB7136"/>
    <w:rsid w:val="00BD63FE"/>
    <w:rsid w:val="00BE0875"/>
    <w:rsid w:val="00BF7E27"/>
    <w:rsid w:val="00C0031D"/>
    <w:rsid w:val="00C02740"/>
    <w:rsid w:val="00C034DB"/>
    <w:rsid w:val="00C04C51"/>
    <w:rsid w:val="00C07DE7"/>
    <w:rsid w:val="00C1043C"/>
    <w:rsid w:val="00C17979"/>
    <w:rsid w:val="00C3235A"/>
    <w:rsid w:val="00C349E1"/>
    <w:rsid w:val="00C40676"/>
    <w:rsid w:val="00C412FE"/>
    <w:rsid w:val="00C44580"/>
    <w:rsid w:val="00C45CDE"/>
    <w:rsid w:val="00C4642A"/>
    <w:rsid w:val="00C46A2B"/>
    <w:rsid w:val="00C50B15"/>
    <w:rsid w:val="00C530D1"/>
    <w:rsid w:val="00C53FBE"/>
    <w:rsid w:val="00C5451C"/>
    <w:rsid w:val="00C619B9"/>
    <w:rsid w:val="00C65762"/>
    <w:rsid w:val="00C70376"/>
    <w:rsid w:val="00C74396"/>
    <w:rsid w:val="00C9474C"/>
    <w:rsid w:val="00C972F8"/>
    <w:rsid w:val="00CA0850"/>
    <w:rsid w:val="00CA41BC"/>
    <w:rsid w:val="00CA5966"/>
    <w:rsid w:val="00CA7700"/>
    <w:rsid w:val="00CC2901"/>
    <w:rsid w:val="00CD56CC"/>
    <w:rsid w:val="00CE6BD0"/>
    <w:rsid w:val="00CF607D"/>
    <w:rsid w:val="00D1462C"/>
    <w:rsid w:val="00D21EFD"/>
    <w:rsid w:val="00D23FE8"/>
    <w:rsid w:val="00D30D5B"/>
    <w:rsid w:val="00D33802"/>
    <w:rsid w:val="00D71617"/>
    <w:rsid w:val="00D749F3"/>
    <w:rsid w:val="00D755F4"/>
    <w:rsid w:val="00D84919"/>
    <w:rsid w:val="00DB4D86"/>
    <w:rsid w:val="00DC0E9F"/>
    <w:rsid w:val="00DC4D77"/>
    <w:rsid w:val="00DC5087"/>
    <w:rsid w:val="00DC522F"/>
    <w:rsid w:val="00DC67A3"/>
    <w:rsid w:val="00DE66AD"/>
    <w:rsid w:val="00DF05E2"/>
    <w:rsid w:val="00E0074C"/>
    <w:rsid w:val="00E0140E"/>
    <w:rsid w:val="00E03689"/>
    <w:rsid w:val="00E0597E"/>
    <w:rsid w:val="00E13E61"/>
    <w:rsid w:val="00E16F54"/>
    <w:rsid w:val="00E34C9B"/>
    <w:rsid w:val="00E504D4"/>
    <w:rsid w:val="00E56762"/>
    <w:rsid w:val="00E56EB4"/>
    <w:rsid w:val="00E57B5D"/>
    <w:rsid w:val="00E65463"/>
    <w:rsid w:val="00E65952"/>
    <w:rsid w:val="00E80773"/>
    <w:rsid w:val="00E8741B"/>
    <w:rsid w:val="00E906AE"/>
    <w:rsid w:val="00EA15D0"/>
    <w:rsid w:val="00EA7D3F"/>
    <w:rsid w:val="00EC14EC"/>
    <w:rsid w:val="00ED630B"/>
    <w:rsid w:val="00EE39E8"/>
    <w:rsid w:val="00F006BB"/>
    <w:rsid w:val="00F131E4"/>
    <w:rsid w:val="00F16554"/>
    <w:rsid w:val="00F40DD0"/>
    <w:rsid w:val="00F46FF5"/>
    <w:rsid w:val="00F613BD"/>
    <w:rsid w:val="00F62352"/>
    <w:rsid w:val="00F64036"/>
    <w:rsid w:val="00F81D90"/>
    <w:rsid w:val="00F85CED"/>
    <w:rsid w:val="00F92175"/>
    <w:rsid w:val="00F94120"/>
    <w:rsid w:val="00F953A8"/>
    <w:rsid w:val="00FA0169"/>
    <w:rsid w:val="00FA3B44"/>
    <w:rsid w:val="00FA5F5E"/>
    <w:rsid w:val="00FB075E"/>
    <w:rsid w:val="00FC3A86"/>
    <w:rsid w:val="00FD5823"/>
    <w:rsid w:val="00FD5900"/>
    <w:rsid w:val="00FD671A"/>
    <w:rsid w:val="00FE24AC"/>
    <w:rsid w:val="00FE393F"/>
    <w:rsid w:val="00FF794A"/>
    <w:rsid w:val="00FF7DAA"/>
    <w:rsid w:val="420C0A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paragraph" w:styleId="5">
    <w:name w:val="Plain Text"/>
    <w:basedOn w:val="1"/>
    <w:link w:val="9"/>
    <w:semiHidden/>
    <w:uiPriority w:val="0"/>
    <w:pPr>
      <w:spacing w:after="0" w:line="240" w:lineRule="auto"/>
    </w:pPr>
    <w:rPr>
      <w:rFonts w:ascii="Courier New" w:hAnsi="Courier New" w:eastAsia="Times New Roman" w:cs="Times New Roman"/>
      <w:sz w:val="20"/>
      <w:szCs w:val="20"/>
      <w:lang w:eastAsia="ru-RU"/>
    </w:rPr>
  </w:style>
  <w:style w:type="paragraph" w:styleId="6">
    <w:name w:val="footer"/>
    <w:basedOn w:val="1"/>
    <w:link w:val="8"/>
    <w:uiPriority w:val="0"/>
    <w:pPr>
      <w:tabs>
        <w:tab w:val="center" w:pos="4677"/>
        <w:tab w:val="right" w:pos="9355"/>
      </w:tabs>
      <w:spacing w:after="0" w:line="240" w:lineRule="auto"/>
    </w:pPr>
    <w:rPr>
      <w:rFonts w:ascii="Times New Roman" w:hAnsi="Times New Roman" w:eastAsia="Times New Roman" w:cs="Times New Roman"/>
      <w:sz w:val="24"/>
      <w:szCs w:val="24"/>
      <w:lang w:val="zh-CN" w:eastAsia="ru-RU"/>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ижній колонтитул Знак"/>
    <w:basedOn w:val="2"/>
    <w:link w:val="6"/>
    <w:uiPriority w:val="0"/>
    <w:rPr>
      <w:rFonts w:ascii="Times New Roman" w:hAnsi="Times New Roman" w:eastAsia="Times New Roman" w:cs="Times New Roman"/>
      <w:sz w:val="24"/>
      <w:szCs w:val="24"/>
      <w:lang w:val="zh-CN" w:eastAsia="ru-RU"/>
    </w:rPr>
  </w:style>
  <w:style w:type="character" w:customStyle="1" w:styleId="9">
    <w:name w:val="Текст Знак"/>
    <w:basedOn w:val="2"/>
    <w:link w:val="5"/>
    <w:semiHidden/>
    <w:uiPriority w:val="0"/>
    <w:rPr>
      <w:rFonts w:ascii="Courier New" w:hAnsi="Courier New" w:eastAsia="Times New Roman" w:cs="Times New Roman"/>
      <w:sz w:val="20"/>
      <w:szCs w:val="20"/>
      <w:lang w:eastAsia="ru-RU"/>
    </w:rPr>
  </w:style>
  <w:style w:type="paragraph" w:styleId="10">
    <w:name w:val="List Paragraph"/>
    <w:basedOn w:val="1"/>
    <w:qFormat/>
    <w:uiPriority w:val="34"/>
    <w:pPr>
      <w:ind w:left="720"/>
      <w:contextualSpacing/>
    </w:pPr>
  </w:style>
  <w:style w:type="paragraph" w:customStyle="1" w:styleId="11">
    <w:name w:val="Human  Untertitel"/>
    <w:uiPriority w:val="0"/>
    <w:pPr>
      <w:suppressAutoHyphens/>
      <w:spacing w:after="0" w:line="280" w:lineRule="exact"/>
    </w:pPr>
    <w:rPr>
      <w:rFonts w:ascii="Times New Roman" w:hAnsi="Times New Roman" w:eastAsia="Times New Roman" w:cs="Times New Roman"/>
      <w:sz w:val="20"/>
      <w:szCs w:val="20"/>
      <w:lang w:val="ru-RU" w:eastAsia="zh-CN" w:bidi="ar-SA"/>
    </w:rPr>
  </w:style>
  <w:style w:type="paragraph" w:customStyle="1" w:styleId="12">
    <w:name w:val="Human Fließtext Hervorhebung"/>
    <w:basedOn w:val="1"/>
    <w:next w:val="1"/>
    <w:uiPriority w:val="0"/>
    <w:pPr>
      <w:suppressAutoHyphens/>
      <w:spacing w:after="60" w:line="180" w:lineRule="exact"/>
      <w:jc w:val="both"/>
    </w:pPr>
    <w:rPr>
      <w:rFonts w:ascii="Times New Roman" w:hAnsi="Times New Roman" w:eastAsia="Times New Roman" w:cs="Times New Roman"/>
      <w:sz w:val="20"/>
      <w:szCs w:val="20"/>
      <w:lang w:val="uk-UA" w:eastAsia="zh-CN"/>
    </w:rPr>
  </w:style>
  <w:style w:type="paragraph" w:customStyle="1" w:styleId="13">
    <w:name w:val="Human Fließtext"/>
    <w:basedOn w:val="1"/>
    <w:uiPriority w:val="0"/>
    <w:pPr>
      <w:suppressAutoHyphens/>
      <w:spacing w:after="60" w:line="180" w:lineRule="exact"/>
      <w:jc w:val="both"/>
    </w:pPr>
    <w:rPr>
      <w:rFonts w:ascii="Times New Roman" w:hAnsi="Times New Roman" w:eastAsia="Times New Roman" w:cs="Times New Roman"/>
      <w:sz w:val="20"/>
      <w:szCs w:val="20"/>
      <w:lang w:val="uk-UA"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476A-CDC0-4EB9-B6FF-C0ABDF5AA4D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2828</Words>
  <Characters>1612</Characters>
  <Lines>13</Lines>
  <Paragraphs>8</Paragraphs>
  <TotalTime>1942</TotalTime>
  <ScaleCrop>false</ScaleCrop>
  <LinksUpToDate>false</LinksUpToDate>
  <CharactersWithSpaces>4432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2019-01-06T11:57:00Z</dcterms:created>
  <dc:creator>admin</dc:creator>
  <cp:lastModifiedBy>Irina</cp:lastModifiedBy>
  <dcterms:modified xsi:type="dcterms:W3CDTF">2023-03-20T12:14:55Z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9368CDF9524346D1B326559547534470</vt:lpwstr>
  </property>
</Properties>
</file>