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6EB8F06E"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8F33E8">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7E2AC6C1"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484DF1">
        <w:rPr>
          <w:rFonts w:ascii="Times New Roman" w:eastAsia="Times New Roman" w:hAnsi="Times New Roman" w:cs="Times New Roman"/>
          <w:sz w:val="23"/>
          <w:szCs w:val="23"/>
          <w:lang w:val="uk-UA" w:eastAsia="ru-RU"/>
        </w:rPr>
        <w:t xml:space="preserve"> </w:t>
      </w:r>
      <w:proofErr w:type="spellStart"/>
      <w:r w:rsidR="00484DF1">
        <w:rPr>
          <w:rFonts w:ascii="Times New Roman" w:eastAsia="Times New Roman" w:hAnsi="Times New Roman" w:cs="Times New Roman"/>
          <w:sz w:val="23"/>
          <w:szCs w:val="23"/>
          <w:lang w:val="uk-UA" w:eastAsia="ru-RU"/>
        </w:rPr>
        <w:t>т.в.о</w:t>
      </w:r>
      <w:proofErr w:type="spellEnd"/>
      <w:r w:rsidR="00484DF1">
        <w:rPr>
          <w:rFonts w:ascii="Times New Roman" w:eastAsia="Times New Roman" w:hAnsi="Times New Roman" w:cs="Times New Roman"/>
          <w:sz w:val="23"/>
          <w:szCs w:val="23"/>
          <w:lang w:val="uk-UA" w:eastAsia="ru-RU"/>
        </w:rPr>
        <w:t xml:space="preserve">. директора </w:t>
      </w:r>
      <w:proofErr w:type="spellStart"/>
      <w:r w:rsidR="00484DF1">
        <w:rPr>
          <w:rFonts w:ascii="Times New Roman" w:eastAsia="Times New Roman" w:hAnsi="Times New Roman" w:cs="Times New Roman"/>
          <w:sz w:val="23"/>
          <w:szCs w:val="23"/>
          <w:lang w:val="uk-UA" w:eastAsia="ru-RU"/>
        </w:rPr>
        <w:t>Ігора</w:t>
      </w:r>
      <w:proofErr w:type="spellEnd"/>
      <w:r w:rsidR="00484DF1">
        <w:rPr>
          <w:rFonts w:ascii="Times New Roman" w:eastAsia="Times New Roman" w:hAnsi="Times New Roman" w:cs="Times New Roman"/>
          <w:sz w:val="23"/>
          <w:szCs w:val="23"/>
          <w:lang w:val="uk-UA" w:eastAsia="ru-RU"/>
        </w:rPr>
        <w:t xml:space="preserve"> ЛАЩИКА, що діє 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2E1C5FDC" w14:textId="77777777" w:rsidR="009C6F68" w:rsidRDefault="00A64E13" w:rsidP="000D217A">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525E8F">
        <w:rPr>
          <w:rFonts w:ascii="Times New Roman" w:eastAsia="Times New Roman" w:hAnsi="Times New Roman" w:cs="Times New Roman"/>
          <w:sz w:val="23"/>
          <w:szCs w:val="23"/>
          <w:lang w:val="uk-UA"/>
        </w:rPr>
        <w:t xml:space="preserve"> </w:t>
      </w:r>
      <w:r w:rsidR="009C6F68" w:rsidRPr="009C6F68">
        <w:rPr>
          <w:rFonts w:ascii="Times New Roman" w:eastAsia="Times New Roman" w:hAnsi="Times New Roman" w:cs="Times New Roman"/>
          <w:sz w:val="23"/>
          <w:szCs w:val="23"/>
          <w:lang w:val="uk-UA"/>
        </w:rPr>
        <w:t>Лабораторні реактиви( Реактиви для біохімічного аналізатора та імунологічних досліджень)</w:t>
      </w:r>
      <w:r w:rsidR="009C6F68" w:rsidRPr="009C6F68">
        <w:rPr>
          <w:lang w:val="uk-UA"/>
        </w:rPr>
        <w:t xml:space="preserve"> </w:t>
      </w:r>
      <w:r w:rsidR="009C6F68" w:rsidRPr="009C6F68">
        <w:rPr>
          <w:rFonts w:ascii="Times New Roman" w:eastAsia="Times New Roman" w:hAnsi="Times New Roman" w:cs="Times New Roman"/>
          <w:sz w:val="23"/>
          <w:szCs w:val="23"/>
          <w:lang w:val="uk-UA"/>
        </w:rPr>
        <w:t>ДК 021:2015: 33690000-3 — Лікарські засоби різні</w:t>
      </w:r>
    </w:p>
    <w:p w14:paraId="4E6A0A1C" w14:textId="7B98C076" w:rsidR="00A64E13" w:rsidRPr="000547B7" w:rsidRDefault="00A64E13" w:rsidP="000D217A">
      <w:pPr>
        <w:spacing w:after="0" w:line="240" w:lineRule="auto"/>
        <w:ind w:firstLine="540"/>
        <w:jc w:val="both"/>
        <w:rPr>
          <w:rFonts w:ascii="Times New Roman" w:eastAsia="Times New Roman" w:hAnsi="Times New Roman" w:cs="Times New Roman"/>
          <w:sz w:val="23"/>
          <w:szCs w:val="23"/>
          <w:lang w:eastAsia="ru-RU"/>
        </w:rPr>
      </w:pPr>
      <w:bookmarkStart w:id="0" w:name="_GoBack"/>
      <w:bookmarkEnd w:id="0"/>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779E2B84" w:rsidR="0006076D"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lastRenderedPageBreak/>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2D86272E"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0D217A">
        <w:rPr>
          <w:rFonts w:ascii="Times New Roman" w:eastAsia="Times New Roman" w:hAnsi="Times New Roman" w:cs="Times New Roman"/>
          <w:sz w:val="23"/>
          <w:szCs w:val="23"/>
          <w:lang w:val="uk-UA" w:eastAsia="ru-RU"/>
        </w:rPr>
        <w:t>31.12</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8F33E8">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w:t>
      </w:r>
      <w:r w:rsidRPr="000547B7">
        <w:rPr>
          <w:rFonts w:ascii="Times New Roman" w:eastAsia="Times New Roman" w:hAnsi="Times New Roman" w:cs="Times New Roman"/>
          <w:sz w:val="23"/>
          <w:szCs w:val="23"/>
          <w:lang w:val="uk-UA" w:eastAsia="ru-RU"/>
        </w:rPr>
        <w:lastRenderedPageBreak/>
        <w:t>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219F1D9F"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8F33E8">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w:t>
      </w:r>
      <w:r w:rsidRPr="009F7BDC">
        <w:rPr>
          <w:rFonts w:ascii="Times New Roman" w:eastAsia="Calibri" w:hAnsi="Times New Roman" w:cs="Times New Roman"/>
          <w:color w:val="000000"/>
          <w:sz w:val="23"/>
          <w:szCs w:val="23"/>
          <w:shd w:val="clear" w:color="auto" w:fill="FFFFFF"/>
          <w:lang w:val="uk-UA"/>
        </w:rPr>
        <w:lastRenderedPageBreak/>
        <w:t xml:space="preserve">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0402C0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635DA" w14:textId="59EE3929" w:rsidR="008F33E8" w:rsidRPr="008F33E8" w:rsidRDefault="008F33E8"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F33E8">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4A6D429E" w14:textId="75052416" w:rsidR="00D457C0" w:rsidRPr="00D457C0" w:rsidRDefault="00D457C0" w:rsidP="00D457C0">
            <w:pPr>
              <w:pStyle w:val="a3"/>
              <w:rPr>
                <w:rFonts w:ascii="Times New Roman" w:hAnsi="Times New Roman"/>
                <w:sz w:val="23"/>
                <w:szCs w:val="23"/>
              </w:rPr>
            </w:pPr>
            <w:r w:rsidRPr="00D457C0">
              <w:rPr>
                <w:rFonts w:ascii="Times New Roman" w:hAnsi="Times New Roman"/>
                <w:sz w:val="23"/>
                <w:szCs w:val="23"/>
              </w:rPr>
              <w:t>р/</w:t>
            </w:r>
            <w:r>
              <w:rPr>
                <w:rFonts w:ascii="Times New Roman" w:hAnsi="Times New Roman"/>
                <w:sz w:val="23"/>
                <w:szCs w:val="23"/>
              </w:rPr>
              <w:t xml:space="preserve">р UA </w:t>
            </w:r>
            <w:r w:rsidR="00CA6128">
              <w:rPr>
                <w:rFonts w:ascii="Times New Roman" w:hAnsi="Times New Roman"/>
                <w:sz w:val="23"/>
                <w:szCs w:val="23"/>
              </w:rPr>
              <w:t>203052990000026007040800619</w:t>
            </w:r>
          </w:p>
          <w:p w14:paraId="594C8195" w14:textId="5CA19278" w:rsidR="00D457C0" w:rsidRDefault="00D457C0" w:rsidP="00D457C0">
            <w:pPr>
              <w:pStyle w:val="a3"/>
              <w:rPr>
                <w:rFonts w:ascii="Times New Roman" w:hAnsi="Times New Roman"/>
                <w:sz w:val="23"/>
                <w:szCs w:val="23"/>
              </w:rPr>
            </w:pPr>
            <w:r w:rsidRPr="00D457C0">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39CD93C2"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1EAA4BAD"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25FA0CA1" w14:textId="0625E94B" w:rsidR="00A64E13" w:rsidRPr="008F33E8" w:rsidRDefault="00484DF1" w:rsidP="00484DF1">
            <w:pPr>
              <w:pStyle w:val="a3"/>
              <w:rPr>
                <w:rFonts w:ascii="Times New Roman" w:hAnsi="Times New Roman"/>
                <w:sz w:val="23"/>
                <w:szCs w:val="23"/>
                <w:lang w:val="ru-RU"/>
              </w:rPr>
            </w:pPr>
            <w:r w:rsidRPr="00484DF1">
              <w:rPr>
                <w:rFonts w:ascii="Times New Roman" w:eastAsiaTheme="minorHAnsi" w:hAnsi="Times New Roman" w:cstheme="minorBidi"/>
                <w:bCs/>
                <w:sz w:val="23"/>
                <w:szCs w:val="23"/>
                <w:lang w:val="ru-RU" w:eastAsia="en-US"/>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2DE770C8"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8F33E8">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578696C5"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7A21E72E" w14:textId="3C7E7F94" w:rsidR="00D457C0" w:rsidRPr="00D457C0" w:rsidRDefault="00D457C0" w:rsidP="00D457C0">
            <w:pPr>
              <w:pStyle w:val="a3"/>
              <w:rPr>
                <w:rFonts w:ascii="Times New Roman" w:hAnsi="Times New Roman"/>
                <w:sz w:val="23"/>
                <w:szCs w:val="23"/>
              </w:rPr>
            </w:pPr>
            <w:r w:rsidRPr="00D457C0">
              <w:rPr>
                <w:rFonts w:ascii="Times New Roman" w:hAnsi="Times New Roman"/>
                <w:sz w:val="23"/>
                <w:szCs w:val="23"/>
              </w:rPr>
              <w:t>р/</w:t>
            </w:r>
            <w:r w:rsidR="00CA6128">
              <w:rPr>
                <w:rFonts w:ascii="Times New Roman" w:hAnsi="Times New Roman"/>
                <w:sz w:val="23"/>
                <w:szCs w:val="23"/>
              </w:rPr>
              <w:t>р UA 203052990000026007040800619</w:t>
            </w:r>
          </w:p>
          <w:p w14:paraId="4582D3BE" w14:textId="01AED8D5" w:rsidR="00D457C0" w:rsidRPr="00726102" w:rsidRDefault="00D457C0" w:rsidP="00D457C0">
            <w:pPr>
              <w:pStyle w:val="a3"/>
              <w:rPr>
                <w:rFonts w:ascii="Times New Roman" w:hAnsi="Times New Roman"/>
                <w:sz w:val="23"/>
                <w:szCs w:val="23"/>
              </w:rPr>
            </w:pPr>
            <w:r w:rsidRPr="00D457C0">
              <w:rPr>
                <w:rFonts w:ascii="Times New Roman" w:hAnsi="Times New Roman"/>
                <w:sz w:val="23"/>
                <w:szCs w:val="23"/>
              </w:rPr>
              <w:t>в АТ КБ «Приватбанк»</w:t>
            </w:r>
          </w:p>
          <w:p w14:paraId="04C5FF27"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14:paraId="3ADA2B93" w14:textId="77777777" w:rsidR="00726102" w:rsidRPr="00726102" w:rsidRDefault="00726102" w:rsidP="00726102">
            <w:pPr>
              <w:pStyle w:val="a3"/>
              <w:rPr>
                <w:rFonts w:ascii="Times New Roman" w:hAnsi="Times New Roman"/>
                <w:sz w:val="23"/>
                <w:szCs w:val="23"/>
              </w:rPr>
            </w:pPr>
          </w:p>
          <w:p w14:paraId="2F8FAA47"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3F848A4C" w14:textId="6A619989" w:rsidR="00992B37" w:rsidRPr="00CA6128" w:rsidRDefault="00484DF1" w:rsidP="00CA6128">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D217A"/>
    <w:rsid w:val="000F7F75"/>
    <w:rsid w:val="0016246C"/>
    <w:rsid w:val="0016788B"/>
    <w:rsid w:val="001764B0"/>
    <w:rsid w:val="00181B6E"/>
    <w:rsid w:val="001E1F2B"/>
    <w:rsid w:val="001F65D0"/>
    <w:rsid w:val="0024596A"/>
    <w:rsid w:val="00255E72"/>
    <w:rsid w:val="0027737B"/>
    <w:rsid w:val="00281EB0"/>
    <w:rsid w:val="00286DFC"/>
    <w:rsid w:val="0029215F"/>
    <w:rsid w:val="002D2BBB"/>
    <w:rsid w:val="002D4F7A"/>
    <w:rsid w:val="002D7AD4"/>
    <w:rsid w:val="002E2878"/>
    <w:rsid w:val="002E360C"/>
    <w:rsid w:val="002F0638"/>
    <w:rsid w:val="00324D85"/>
    <w:rsid w:val="00327FC6"/>
    <w:rsid w:val="003426E6"/>
    <w:rsid w:val="0035302B"/>
    <w:rsid w:val="00363183"/>
    <w:rsid w:val="0036441D"/>
    <w:rsid w:val="00367BF1"/>
    <w:rsid w:val="00370373"/>
    <w:rsid w:val="00381C7F"/>
    <w:rsid w:val="003A4764"/>
    <w:rsid w:val="003A4A92"/>
    <w:rsid w:val="003B17DE"/>
    <w:rsid w:val="003B4F53"/>
    <w:rsid w:val="003E4067"/>
    <w:rsid w:val="00401103"/>
    <w:rsid w:val="00411385"/>
    <w:rsid w:val="0041587B"/>
    <w:rsid w:val="004469DC"/>
    <w:rsid w:val="0047747C"/>
    <w:rsid w:val="00484DF1"/>
    <w:rsid w:val="00492BB4"/>
    <w:rsid w:val="004A25A0"/>
    <w:rsid w:val="004B6D6E"/>
    <w:rsid w:val="004F7CF8"/>
    <w:rsid w:val="00525E8F"/>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85962"/>
    <w:rsid w:val="008C7759"/>
    <w:rsid w:val="008F33E8"/>
    <w:rsid w:val="00940CB3"/>
    <w:rsid w:val="009423DB"/>
    <w:rsid w:val="00965664"/>
    <w:rsid w:val="00992B37"/>
    <w:rsid w:val="009937F3"/>
    <w:rsid w:val="00997A42"/>
    <w:rsid w:val="009A25B2"/>
    <w:rsid w:val="009B3BCB"/>
    <w:rsid w:val="009C6F68"/>
    <w:rsid w:val="009F078E"/>
    <w:rsid w:val="009F7BDC"/>
    <w:rsid w:val="00A213EB"/>
    <w:rsid w:val="00A64E13"/>
    <w:rsid w:val="00A812E2"/>
    <w:rsid w:val="00AA1530"/>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335D4"/>
    <w:rsid w:val="00C55844"/>
    <w:rsid w:val="00C77A57"/>
    <w:rsid w:val="00CA6128"/>
    <w:rsid w:val="00CE107A"/>
    <w:rsid w:val="00CF1446"/>
    <w:rsid w:val="00D01FE6"/>
    <w:rsid w:val="00D1770D"/>
    <w:rsid w:val="00D22D28"/>
    <w:rsid w:val="00D34E14"/>
    <w:rsid w:val="00D457C0"/>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 w:id="14393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D452-3D3B-48BC-B718-1DF29E1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10179</Words>
  <Characters>5803</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2024-04-02T16:00:00Z</dcterms:created>
  <dcterms:modified xsi:type="dcterms:W3CDTF">2024-04-02T16:00:00Z</dcterms:modified>
</cp:coreProperties>
</file>