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7BAB86EA" w:rsidR="00663498" w:rsidRPr="00DC3CDD" w:rsidRDefault="00DC3CDD" w:rsidP="00B5581A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B5581A" w:rsidRPr="00B5581A">
        <w:rPr>
          <w:b/>
          <w:color w:val="000000"/>
          <w:sz w:val="28"/>
          <w:szCs w:val="28"/>
          <w:lang w:val="uk-UA"/>
        </w:rPr>
        <w:t xml:space="preserve">Дренаж типу </w:t>
      </w:r>
      <w:proofErr w:type="spellStart"/>
      <w:r w:rsidR="00B5581A" w:rsidRPr="00B5581A">
        <w:rPr>
          <w:b/>
          <w:color w:val="000000"/>
          <w:sz w:val="28"/>
          <w:szCs w:val="28"/>
          <w:lang w:val="uk-UA"/>
        </w:rPr>
        <w:t>Редон</w:t>
      </w:r>
      <w:proofErr w:type="spellEnd"/>
      <w:r w:rsidR="00B5581A" w:rsidRPr="00B5581A">
        <w:rPr>
          <w:b/>
          <w:color w:val="000000"/>
          <w:sz w:val="28"/>
          <w:szCs w:val="28"/>
          <w:lang w:val="uk-UA"/>
        </w:rPr>
        <w:t xml:space="preserve"> (адаптер Жане) розмір </w:t>
      </w:r>
      <w:proofErr w:type="spellStart"/>
      <w:r w:rsidR="00B5581A" w:rsidRPr="00B5581A">
        <w:rPr>
          <w:b/>
          <w:color w:val="000000"/>
          <w:sz w:val="28"/>
          <w:szCs w:val="28"/>
          <w:lang w:val="uk-UA"/>
        </w:rPr>
        <w:t>Fr</w:t>
      </w:r>
      <w:proofErr w:type="spellEnd"/>
      <w:r w:rsidR="00B5581A" w:rsidRPr="00B5581A">
        <w:rPr>
          <w:b/>
          <w:color w:val="000000"/>
          <w:sz w:val="28"/>
          <w:szCs w:val="28"/>
          <w:lang w:val="uk-UA"/>
        </w:rPr>
        <w:t xml:space="preserve"> 15, діаметр 5,0 мм довжина 1500 мм</w:t>
      </w:r>
      <w:r w:rsidR="00B5581A">
        <w:rPr>
          <w:b/>
          <w:color w:val="000000"/>
          <w:sz w:val="28"/>
          <w:szCs w:val="28"/>
          <w:lang w:val="uk-UA"/>
        </w:rPr>
        <w:t xml:space="preserve">, </w:t>
      </w:r>
      <w:r w:rsidR="00B5581A" w:rsidRPr="00B5581A">
        <w:rPr>
          <w:b/>
          <w:color w:val="000000"/>
          <w:sz w:val="28"/>
          <w:szCs w:val="28"/>
          <w:lang w:val="uk-UA"/>
        </w:rPr>
        <w:t xml:space="preserve">Дренаж типу </w:t>
      </w:r>
      <w:proofErr w:type="spellStart"/>
      <w:r w:rsidR="00B5581A" w:rsidRPr="00B5581A">
        <w:rPr>
          <w:b/>
          <w:color w:val="000000"/>
          <w:sz w:val="28"/>
          <w:szCs w:val="28"/>
          <w:lang w:val="uk-UA"/>
        </w:rPr>
        <w:t>Редон</w:t>
      </w:r>
      <w:proofErr w:type="spellEnd"/>
      <w:r w:rsidR="00B5581A" w:rsidRPr="00B5581A">
        <w:rPr>
          <w:b/>
          <w:color w:val="000000"/>
          <w:sz w:val="28"/>
          <w:szCs w:val="28"/>
          <w:lang w:val="uk-UA"/>
        </w:rPr>
        <w:t xml:space="preserve"> (адаптер Жане) розмір </w:t>
      </w:r>
      <w:proofErr w:type="spellStart"/>
      <w:r w:rsidR="00B5581A" w:rsidRPr="00B5581A">
        <w:rPr>
          <w:b/>
          <w:color w:val="000000"/>
          <w:sz w:val="28"/>
          <w:szCs w:val="28"/>
          <w:lang w:val="uk-UA"/>
        </w:rPr>
        <w:t>Fr</w:t>
      </w:r>
      <w:proofErr w:type="spellEnd"/>
      <w:r w:rsidR="00B5581A" w:rsidRPr="00B5581A">
        <w:rPr>
          <w:b/>
          <w:color w:val="000000"/>
          <w:sz w:val="28"/>
          <w:szCs w:val="28"/>
          <w:lang w:val="uk-UA"/>
        </w:rPr>
        <w:t xml:space="preserve"> 18, діаметр 6,0 мм, довжина 500 мм</w:t>
      </w:r>
      <w:r w:rsidR="00B5581A">
        <w:rPr>
          <w:b/>
          <w:color w:val="000000"/>
          <w:sz w:val="28"/>
          <w:szCs w:val="28"/>
          <w:lang w:val="uk-UA"/>
        </w:rPr>
        <w:t xml:space="preserve">, </w:t>
      </w:r>
      <w:r w:rsidR="00B5581A" w:rsidRPr="00B5581A">
        <w:rPr>
          <w:b/>
          <w:color w:val="000000"/>
          <w:sz w:val="28"/>
          <w:szCs w:val="28"/>
          <w:lang w:val="uk-UA"/>
        </w:rPr>
        <w:t>Чохол для шнура стерильний 250 см x 15 см</w:t>
      </w:r>
      <w:r w:rsidR="00B5581A">
        <w:rPr>
          <w:b/>
          <w:color w:val="000000"/>
          <w:sz w:val="28"/>
          <w:szCs w:val="28"/>
          <w:lang w:val="uk-UA"/>
        </w:rPr>
        <w:t xml:space="preserve">, </w:t>
      </w:r>
      <w:r w:rsidR="00B5581A" w:rsidRPr="00B5581A">
        <w:rPr>
          <w:b/>
          <w:color w:val="000000"/>
          <w:sz w:val="28"/>
          <w:szCs w:val="28"/>
          <w:lang w:val="uk-UA"/>
        </w:rPr>
        <w:t xml:space="preserve">Мундштук для </w:t>
      </w:r>
      <w:proofErr w:type="spellStart"/>
      <w:r w:rsidR="00B5581A" w:rsidRPr="00B5581A">
        <w:rPr>
          <w:b/>
          <w:color w:val="000000"/>
          <w:sz w:val="28"/>
          <w:szCs w:val="28"/>
          <w:lang w:val="uk-UA"/>
        </w:rPr>
        <w:t>спірографа</w:t>
      </w:r>
      <w:proofErr w:type="spellEnd"/>
      <w:r w:rsidR="00B5581A" w:rsidRPr="00B5581A">
        <w:rPr>
          <w:b/>
          <w:color w:val="000000"/>
          <w:sz w:val="28"/>
          <w:szCs w:val="28"/>
          <w:lang w:val="uk-UA"/>
        </w:rPr>
        <w:t xml:space="preserve"> одноразовий діаметр 30 мм</w:t>
      </w:r>
      <w:r w:rsidR="00B5581A">
        <w:rPr>
          <w:b/>
          <w:color w:val="000000"/>
          <w:sz w:val="28"/>
          <w:szCs w:val="28"/>
          <w:lang w:val="uk-UA"/>
        </w:rPr>
        <w:t xml:space="preserve">, </w:t>
      </w:r>
      <w:r w:rsidR="00B5581A" w:rsidRPr="00B5581A">
        <w:rPr>
          <w:b/>
          <w:color w:val="000000"/>
          <w:sz w:val="28"/>
          <w:szCs w:val="28"/>
          <w:lang w:val="uk-UA"/>
        </w:rPr>
        <w:t>Маска для інгалятора  доросла</w:t>
      </w:r>
      <w:r w:rsidR="00B5581A">
        <w:rPr>
          <w:b/>
          <w:color w:val="000000"/>
          <w:sz w:val="28"/>
          <w:szCs w:val="28"/>
          <w:lang w:val="uk-UA"/>
        </w:rPr>
        <w:t xml:space="preserve">, </w:t>
      </w:r>
      <w:r w:rsidR="00B5581A" w:rsidRPr="00B5581A">
        <w:rPr>
          <w:b/>
          <w:color w:val="000000"/>
          <w:sz w:val="28"/>
          <w:szCs w:val="28"/>
          <w:lang w:val="uk-UA"/>
        </w:rPr>
        <w:t>Маска для інгалятора  дитяча</w:t>
      </w:r>
      <w:r>
        <w:rPr>
          <w:b/>
          <w:color w:val="000000"/>
          <w:sz w:val="28"/>
          <w:szCs w:val="28"/>
          <w:lang w:val="uk-UA"/>
        </w:rPr>
        <w:t>»</w:t>
      </w:r>
      <w:r w:rsidR="00FD341E" w:rsidRPr="00FD34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 w:rsidRPr="00DC3CDD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2B7E8C09" w14:textId="67F048DA" w:rsidR="002E5713" w:rsidRPr="00176A89" w:rsidRDefault="00B314DD" w:rsidP="00176A89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lastRenderedPageBreak/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DC3CDD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DC3CDD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 xml:space="preserve">К-сть </w:t>
            </w:r>
          </w:p>
        </w:tc>
      </w:tr>
      <w:tr w:rsidR="00B5581A" w:rsidRPr="00DC3CDD" w14:paraId="1963F4E8" w14:textId="77777777" w:rsidTr="00B5581A">
        <w:tc>
          <w:tcPr>
            <w:tcW w:w="562" w:type="dxa"/>
            <w:vAlign w:val="center"/>
          </w:tcPr>
          <w:p w14:paraId="63E52525" w14:textId="77777777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DC3CD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53914638" w:rsidR="00B5581A" w:rsidRPr="00DC3CDD" w:rsidRDefault="00B5581A" w:rsidP="00B55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Дренаж типу </w:t>
            </w:r>
            <w:proofErr w:type="spellStart"/>
            <w:r>
              <w:rPr>
                <w:b/>
                <w:bCs/>
                <w:color w:val="000000"/>
              </w:rPr>
              <w:t>Редон</w:t>
            </w:r>
            <w:proofErr w:type="spellEnd"/>
            <w:r>
              <w:rPr>
                <w:b/>
                <w:bCs/>
                <w:color w:val="000000"/>
              </w:rPr>
              <w:t xml:space="preserve"> (адаптер Жане) розмір </w:t>
            </w:r>
            <w:proofErr w:type="spellStart"/>
            <w:r>
              <w:rPr>
                <w:b/>
                <w:bCs/>
                <w:color w:val="000000"/>
              </w:rPr>
              <w:t>Fr</w:t>
            </w:r>
            <w:proofErr w:type="spellEnd"/>
            <w:r>
              <w:rPr>
                <w:b/>
                <w:bCs/>
                <w:color w:val="000000"/>
              </w:rPr>
              <w:t xml:space="preserve"> 15, діаметр 5,0 мм довжина 1500 мм</w:t>
            </w:r>
          </w:p>
        </w:tc>
        <w:tc>
          <w:tcPr>
            <w:tcW w:w="5641" w:type="dxa"/>
            <w:vAlign w:val="center"/>
          </w:tcPr>
          <w:p w14:paraId="4ED04022" w14:textId="38554BC1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Дренаж типу «</w:t>
            </w:r>
            <w:proofErr w:type="spellStart"/>
            <w:r>
              <w:rPr>
                <w:color w:val="000000"/>
              </w:rPr>
              <w:t>Редон</w:t>
            </w:r>
            <w:proofErr w:type="spellEnd"/>
            <w:r>
              <w:rPr>
                <w:color w:val="000000"/>
              </w:rPr>
              <w:t xml:space="preserve">» призначений для активного та пасивного дренування ранового вмісту. За допомогою адаптера Жане дренажна трубка легко та зручно підключається до будь-яких додаткових пристроїв. Властивості: </w:t>
            </w:r>
            <w:proofErr w:type="spellStart"/>
            <w:r>
              <w:rPr>
                <w:color w:val="000000"/>
              </w:rPr>
              <w:t>рентгеноконтрастна</w:t>
            </w:r>
            <w:proofErr w:type="spellEnd"/>
            <w:r>
              <w:rPr>
                <w:color w:val="000000"/>
              </w:rPr>
              <w:t xml:space="preserve"> смуга, оптимальна зона перфорації – 75 мм, широкий вибір розмірів, універсальний адаптер Жане, колірне кодування адаптера.</w:t>
            </w:r>
          </w:p>
        </w:tc>
        <w:tc>
          <w:tcPr>
            <w:tcW w:w="1134" w:type="dxa"/>
            <w:vAlign w:val="center"/>
          </w:tcPr>
          <w:p w14:paraId="26394500" w14:textId="2CB00FA5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DC3CDD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7FA347C2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E2323A">
              <w:t>50</w:t>
            </w:r>
          </w:p>
        </w:tc>
      </w:tr>
      <w:tr w:rsidR="00B5581A" w:rsidRPr="00DC3CDD" w14:paraId="2070F78E" w14:textId="77777777" w:rsidTr="00B5581A">
        <w:tc>
          <w:tcPr>
            <w:tcW w:w="562" w:type="dxa"/>
            <w:vAlign w:val="center"/>
          </w:tcPr>
          <w:p w14:paraId="08DB993A" w14:textId="2F27556E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B91E936" w14:textId="59AD7113" w:rsidR="00B5581A" w:rsidRPr="00DC3CDD" w:rsidRDefault="00B5581A" w:rsidP="00B55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Дренаж типу </w:t>
            </w:r>
            <w:proofErr w:type="spellStart"/>
            <w:r>
              <w:rPr>
                <w:b/>
                <w:bCs/>
                <w:color w:val="000000"/>
              </w:rPr>
              <w:t>Редон</w:t>
            </w:r>
            <w:proofErr w:type="spellEnd"/>
            <w:r>
              <w:rPr>
                <w:b/>
                <w:bCs/>
                <w:color w:val="000000"/>
              </w:rPr>
              <w:t xml:space="preserve"> (адаптер Жане) розмір </w:t>
            </w:r>
            <w:proofErr w:type="spellStart"/>
            <w:r>
              <w:rPr>
                <w:b/>
                <w:bCs/>
                <w:color w:val="000000"/>
              </w:rPr>
              <w:t>Fr</w:t>
            </w:r>
            <w:proofErr w:type="spellEnd"/>
            <w:r>
              <w:rPr>
                <w:b/>
                <w:bCs/>
                <w:color w:val="000000"/>
              </w:rPr>
              <w:t xml:space="preserve"> 18, діаметр 6,0 мм, довжина 500 мм</w:t>
            </w:r>
          </w:p>
        </w:tc>
        <w:tc>
          <w:tcPr>
            <w:tcW w:w="5641" w:type="dxa"/>
            <w:vAlign w:val="center"/>
          </w:tcPr>
          <w:p w14:paraId="57AC9DB9" w14:textId="49570B84" w:rsidR="00B5581A" w:rsidRPr="00DC3CDD" w:rsidRDefault="00B5581A" w:rsidP="00B5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Дренаж типу «</w:t>
            </w:r>
            <w:proofErr w:type="spellStart"/>
            <w:r>
              <w:rPr>
                <w:color w:val="000000"/>
              </w:rPr>
              <w:t>Редон</w:t>
            </w:r>
            <w:proofErr w:type="spellEnd"/>
            <w:r>
              <w:rPr>
                <w:color w:val="000000"/>
              </w:rPr>
              <w:t xml:space="preserve">» призначений для активного та пасивного дренування ранового вмісту. За допомогою адаптера Жане дренажна трубка легко та зручно підключається до будь-яких додаткових пристроїв. Властивості: </w:t>
            </w:r>
            <w:proofErr w:type="spellStart"/>
            <w:r>
              <w:rPr>
                <w:color w:val="000000"/>
              </w:rPr>
              <w:t>рентгеноконтрастна</w:t>
            </w:r>
            <w:proofErr w:type="spellEnd"/>
            <w:r>
              <w:rPr>
                <w:color w:val="000000"/>
              </w:rPr>
              <w:t xml:space="preserve"> смуга, оптимальна зона перфорації – 75 мм, широкий вибір розмірів, універсальний адаптер Жане, колірне кодування адаптера.</w:t>
            </w:r>
          </w:p>
        </w:tc>
        <w:tc>
          <w:tcPr>
            <w:tcW w:w="1134" w:type="dxa"/>
            <w:vAlign w:val="center"/>
          </w:tcPr>
          <w:p w14:paraId="142BABA2" w14:textId="13A3563D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A642F21" w14:textId="741529D1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E2323A">
              <w:t>70</w:t>
            </w:r>
          </w:p>
        </w:tc>
      </w:tr>
      <w:tr w:rsidR="00B5581A" w:rsidRPr="00DC3CDD" w14:paraId="30AC91CC" w14:textId="77777777" w:rsidTr="00B5581A">
        <w:tc>
          <w:tcPr>
            <w:tcW w:w="562" w:type="dxa"/>
            <w:vAlign w:val="center"/>
          </w:tcPr>
          <w:p w14:paraId="6DC51892" w14:textId="13052199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D4C80E4" w14:textId="74259497" w:rsidR="00B5581A" w:rsidRPr="00DC3CDD" w:rsidRDefault="00B5581A" w:rsidP="00B55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Чохол для шнура стерильний 250 см x 15 см</w:t>
            </w:r>
          </w:p>
        </w:tc>
        <w:tc>
          <w:tcPr>
            <w:tcW w:w="5641" w:type="dxa"/>
            <w:vAlign w:val="center"/>
          </w:tcPr>
          <w:p w14:paraId="3AF97B60" w14:textId="6A1A6157" w:rsidR="00B5581A" w:rsidRPr="00DC3CDD" w:rsidRDefault="00B5581A" w:rsidP="00B5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Чохол для шнура 250х15см (СМС - 35 г / м2) стерильний. Фіксується за допомогою двох </w:t>
            </w:r>
            <w:proofErr w:type="spellStart"/>
            <w:r>
              <w:rPr>
                <w:color w:val="000000"/>
              </w:rPr>
              <w:t>самоприклеюючих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смужок.Характеристики</w:t>
            </w:r>
            <w:proofErr w:type="spellEnd"/>
            <w:r>
              <w:rPr>
                <w:color w:val="000000"/>
              </w:rPr>
              <w:t xml:space="preserve"> матеріалу: високий ступінь повітропроникності; м'якість при дотику; висока стійкість до вологи; достатня міцність на розрив; відсутність при використанні побічних ефектів: подразнення, алергічних реакцій.</w:t>
            </w:r>
          </w:p>
        </w:tc>
        <w:tc>
          <w:tcPr>
            <w:tcW w:w="1134" w:type="dxa"/>
            <w:vAlign w:val="center"/>
          </w:tcPr>
          <w:p w14:paraId="0FFEF5D5" w14:textId="63847799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329ABB2" w14:textId="67AFF087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E2323A">
              <w:t>20</w:t>
            </w:r>
          </w:p>
        </w:tc>
      </w:tr>
      <w:tr w:rsidR="00B5581A" w:rsidRPr="00DC3CDD" w14:paraId="6B5BCA0D" w14:textId="77777777" w:rsidTr="00B5581A">
        <w:tc>
          <w:tcPr>
            <w:tcW w:w="562" w:type="dxa"/>
            <w:vAlign w:val="center"/>
          </w:tcPr>
          <w:p w14:paraId="3F91A482" w14:textId="46E6ACBE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160E95D" w14:textId="75112976" w:rsidR="00B5581A" w:rsidRPr="00DC3CDD" w:rsidRDefault="00B5581A" w:rsidP="00B55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Мундштук для </w:t>
            </w:r>
            <w:proofErr w:type="spellStart"/>
            <w:r>
              <w:rPr>
                <w:b/>
                <w:bCs/>
                <w:color w:val="000000"/>
              </w:rPr>
              <w:t>спірографа</w:t>
            </w:r>
            <w:proofErr w:type="spellEnd"/>
            <w:r>
              <w:rPr>
                <w:b/>
                <w:bCs/>
                <w:color w:val="000000"/>
              </w:rPr>
              <w:t xml:space="preserve"> одноразовий діаметр 30 мм</w:t>
            </w:r>
          </w:p>
        </w:tc>
        <w:tc>
          <w:tcPr>
            <w:tcW w:w="5641" w:type="dxa"/>
            <w:vAlign w:val="center"/>
          </w:tcPr>
          <w:p w14:paraId="0DE58255" w14:textId="3DB9F789" w:rsidR="00B5581A" w:rsidRPr="00DC3CDD" w:rsidRDefault="00B5581A" w:rsidP="00B5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Мундштук одноразовий для </w:t>
            </w:r>
            <w:proofErr w:type="spellStart"/>
            <w:r>
              <w:rPr>
                <w:color w:val="000000"/>
              </w:rPr>
              <w:t>спірометра.Одноразовий</w:t>
            </w:r>
            <w:proofErr w:type="spellEnd"/>
            <w:r>
              <w:rPr>
                <w:color w:val="000000"/>
              </w:rPr>
              <w:t xml:space="preserve"> мундштук виконаний із картону. Внутрішній діаметр: 28 мм. Зовнішній діаметр: 30 мм</w:t>
            </w:r>
          </w:p>
        </w:tc>
        <w:tc>
          <w:tcPr>
            <w:tcW w:w="1134" w:type="dxa"/>
            <w:vAlign w:val="center"/>
          </w:tcPr>
          <w:p w14:paraId="38C5BFC9" w14:textId="10320D4B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155B51BF" w14:textId="3CE5DF1E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E2323A">
              <w:t>1000</w:t>
            </w:r>
          </w:p>
        </w:tc>
      </w:tr>
      <w:tr w:rsidR="00B5581A" w:rsidRPr="00DC3CDD" w14:paraId="76FD57CC" w14:textId="77777777" w:rsidTr="00B5581A">
        <w:tc>
          <w:tcPr>
            <w:tcW w:w="562" w:type="dxa"/>
            <w:vAlign w:val="center"/>
          </w:tcPr>
          <w:p w14:paraId="65DA156C" w14:textId="31E7597E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7A74B250" w14:textId="153E5667" w:rsidR="00B5581A" w:rsidRPr="00DC3CDD" w:rsidRDefault="00B5581A" w:rsidP="00B5581A">
            <w:pPr>
              <w:jc w:val="center"/>
              <w:rPr>
                <w:b/>
                <w:bCs/>
                <w:sz w:val="20"/>
                <w:szCs w:val="20"/>
              </w:rPr>
            </w:pPr>
            <w:r w:rsidRPr="00DC3CDD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</w:rPr>
              <w:t>Маска для інгалятора  доросла</w:t>
            </w:r>
          </w:p>
        </w:tc>
        <w:tc>
          <w:tcPr>
            <w:tcW w:w="5641" w:type="dxa"/>
            <w:vAlign w:val="center"/>
          </w:tcPr>
          <w:p w14:paraId="69E99E59" w14:textId="34E2F432" w:rsidR="00B5581A" w:rsidRPr="00DC3CDD" w:rsidRDefault="00B5581A" w:rsidP="00B5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Маски зручні для лікування верхніх дихальних шляхів і дозволяють зрошувати всі відділи порожнини носа, глотки, а також гортань і трахею. При використанні маски велика частина аерозолів осідає у верхніх дихальних шляхах.</w:t>
            </w:r>
            <w:r>
              <w:rPr>
                <w:color w:val="000000"/>
              </w:rPr>
              <w:br/>
              <w:t>Необхідно використовувати маску відповідного розміру.</w:t>
            </w:r>
            <w:r>
              <w:rPr>
                <w:color w:val="000000"/>
              </w:rPr>
              <w:br/>
              <w:t xml:space="preserve">Маски для дорослих незамінні в разі необхідності проводити інгаляції сильно ослабленим або навіть пацієнтам без свідомості. Наприклад, при значному загостренні нападу бронхіальної астми пацієнти часто не можуть самостійно скористатися дозованими інгаляційними пристроями або навіть </w:t>
            </w:r>
            <w:proofErr w:type="spellStart"/>
            <w:r>
              <w:rPr>
                <w:color w:val="000000"/>
              </w:rPr>
              <w:t>загубником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426C9CC4" w14:textId="568F1ECD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5BC6DC46" w14:textId="6B576B50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E2323A">
              <w:t>50</w:t>
            </w:r>
          </w:p>
        </w:tc>
      </w:tr>
      <w:tr w:rsidR="00B5581A" w:rsidRPr="00DC3CDD" w14:paraId="239AA584" w14:textId="77777777" w:rsidTr="00B5581A">
        <w:tc>
          <w:tcPr>
            <w:tcW w:w="562" w:type="dxa"/>
            <w:vAlign w:val="center"/>
          </w:tcPr>
          <w:p w14:paraId="0C9E3CD1" w14:textId="74E7B4E7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2D8FC87D" w14:textId="6BC11B0B" w:rsidR="00B5581A" w:rsidRPr="00DC3CDD" w:rsidRDefault="00B5581A" w:rsidP="00B558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Маска для інгалятора  дитяча</w:t>
            </w:r>
          </w:p>
        </w:tc>
        <w:tc>
          <w:tcPr>
            <w:tcW w:w="5641" w:type="dxa"/>
            <w:vAlign w:val="center"/>
          </w:tcPr>
          <w:p w14:paraId="000B1D7C" w14:textId="537F746A" w:rsidR="00B5581A" w:rsidRPr="00DC3CDD" w:rsidRDefault="00B5581A" w:rsidP="00B55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Маски зручні для лікування верхніх дихальних шляхів і дозволяють зрошувати всі відділи порожнини носа, глотки, а також гортань і трахею. При використанні маски велика частина аерозолів осідає у верхніх дихальних шляхах.</w:t>
            </w:r>
            <w:r>
              <w:rPr>
                <w:color w:val="000000"/>
              </w:rPr>
              <w:br/>
              <w:t>Необхідно використовувати маску відповідного розміру.</w:t>
            </w:r>
            <w:r>
              <w:rPr>
                <w:color w:val="000000"/>
              </w:rPr>
              <w:br/>
              <w:t xml:space="preserve">Маски для дітей незамінні в разі необхідності проводити інгаляції сильно ослабленим або навіть пацієнтам без свідомості. Наприклад, при значному загостренні нападу бронхіальної астми пацієнти часто не можуть самостійно скористатися дозованими інгаляційними пристроями або навіть </w:t>
            </w:r>
            <w:proofErr w:type="spellStart"/>
            <w:r>
              <w:rPr>
                <w:color w:val="000000"/>
              </w:rPr>
              <w:t>загубником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4576C8C2" w14:textId="6A48F3DB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900827B" w14:textId="4B7E1AF0" w:rsidR="00B5581A" w:rsidRPr="00DC3CDD" w:rsidRDefault="00B5581A" w:rsidP="00B5581A">
            <w:pPr>
              <w:jc w:val="center"/>
              <w:rPr>
                <w:sz w:val="20"/>
                <w:szCs w:val="20"/>
              </w:rPr>
            </w:pPr>
            <w:r w:rsidRPr="00E2323A">
              <w:t>50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lastRenderedPageBreak/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74E1" w14:textId="77777777" w:rsidR="008B61AE" w:rsidRDefault="008B61AE" w:rsidP="005D356F">
      <w:r>
        <w:separator/>
      </w:r>
    </w:p>
  </w:endnote>
  <w:endnote w:type="continuationSeparator" w:id="0">
    <w:p w14:paraId="33882E38" w14:textId="77777777" w:rsidR="008B61AE" w:rsidRDefault="008B61AE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4482" w14:textId="77777777" w:rsidR="008B61AE" w:rsidRDefault="008B61AE" w:rsidP="005D356F">
      <w:r>
        <w:separator/>
      </w:r>
    </w:p>
  </w:footnote>
  <w:footnote w:type="continuationSeparator" w:id="0">
    <w:p w14:paraId="07179D91" w14:textId="77777777" w:rsidR="008B61AE" w:rsidRDefault="008B61AE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76A89"/>
    <w:rsid w:val="001A4A0E"/>
    <w:rsid w:val="001A65CF"/>
    <w:rsid w:val="001B11D3"/>
    <w:rsid w:val="00220733"/>
    <w:rsid w:val="002761DD"/>
    <w:rsid w:val="00287A12"/>
    <w:rsid w:val="002A4614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816B6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377C"/>
    <w:rsid w:val="0067410B"/>
    <w:rsid w:val="006B37C6"/>
    <w:rsid w:val="006D0724"/>
    <w:rsid w:val="006F4A43"/>
    <w:rsid w:val="006F66E7"/>
    <w:rsid w:val="00715182"/>
    <w:rsid w:val="00770669"/>
    <w:rsid w:val="007A0C3A"/>
    <w:rsid w:val="007D75D8"/>
    <w:rsid w:val="00851DBE"/>
    <w:rsid w:val="00856190"/>
    <w:rsid w:val="008A106B"/>
    <w:rsid w:val="008A6059"/>
    <w:rsid w:val="008B178E"/>
    <w:rsid w:val="008B61AE"/>
    <w:rsid w:val="008C282B"/>
    <w:rsid w:val="008C37CE"/>
    <w:rsid w:val="008D4885"/>
    <w:rsid w:val="008F252C"/>
    <w:rsid w:val="0090252A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81A"/>
    <w:rsid w:val="00B55F3D"/>
    <w:rsid w:val="00B577A6"/>
    <w:rsid w:val="00B724BF"/>
    <w:rsid w:val="00B95AA1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C3CDD"/>
    <w:rsid w:val="00DE1602"/>
    <w:rsid w:val="00E3070A"/>
    <w:rsid w:val="00E434C3"/>
    <w:rsid w:val="00E72CFC"/>
    <w:rsid w:val="00EC05E1"/>
    <w:rsid w:val="00EC5C16"/>
    <w:rsid w:val="00F13E25"/>
    <w:rsid w:val="00F62124"/>
    <w:rsid w:val="00F83A05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24</cp:revision>
  <dcterms:created xsi:type="dcterms:W3CDTF">2023-10-07T17:18:00Z</dcterms:created>
  <dcterms:modified xsi:type="dcterms:W3CDTF">2024-04-02T13:47:00Z</dcterms:modified>
</cp:coreProperties>
</file>