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1695"/>
        <w:tblW w:w="18051" w:type="dxa"/>
        <w:tblLook w:val="04A0" w:firstRow="1" w:lastRow="0" w:firstColumn="1" w:lastColumn="0" w:noHBand="0" w:noVBand="1"/>
      </w:tblPr>
      <w:tblGrid>
        <w:gridCol w:w="1559"/>
        <w:gridCol w:w="2127"/>
        <w:gridCol w:w="2693"/>
        <w:gridCol w:w="3827"/>
        <w:gridCol w:w="1271"/>
        <w:gridCol w:w="1381"/>
        <w:gridCol w:w="5298"/>
      </w:tblGrid>
      <w:tr w:rsidR="00302E4A" w:rsidRPr="00302E4A" w:rsidTr="00122214">
        <w:trPr>
          <w:trHeight w:val="3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E4A" w:rsidRPr="00302E4A" w:rsidRDefault="00302E4A" w:rsidP="0030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2E4A"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4A" w:rsidRDefault="00302E4A" w:rsidP="0030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02E4A">
              <w:rPr>
                <w:rFonts w:ascii="Arial" w:eastAsia="Times New Roman" w:hAnsi="Arial" w:cs="Arial"/>
                <w:b/>
                <w:bCs/>
              </w:rPr>
              <w:t>Назва</w:t>
            </w:r>
            <w:proofErr w:type="spellEnd"/>
          </w:p>
          <w:p w:rsidR="00122214" w:rsidRDefault="00122214" w:rsidP="0030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122214" w:rsidRPr="00302E4A" w:rsidRDefault="00122214" w:rsidP="0030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4A" w:rsidRDefault="00302E4A" w:rsidP="0030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02E4A">
              <w:rPr>
                <w:rFonts w:ascii="Arial" w:eastAsia="Times New Roman" w:hAnsi="Arial" w:cs="Arial"/>
                <w:b/>
                <w:bCs/>
              </w:rPr>
              <w:t>Код</w:t>
            </w:r>
            <w:proofErr w:type="spellEnd"/>
            <w:r w:rsidRPr="00302E4A">
              <w:rPr>
                <w:rFonts w:ascii="Arial" w:eastAsia="Times New Roman" w:hAnsi="Arial" w:cs="Arial"/>
                <w:b/>
                <w:bCs/>
              </w:rPr>
              <w:t xml:space="preserve"> НК 024:2023</w:t>
            </w:r>
          </w:p>
          <w:p w:rsidR="00122214" w:rsidRPr="00302E4A" w:rsidRDefault="00122214" w:rsidP="0030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4A" w:rsidRDefault="00302E4A" w:rsidP="0030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02E4A">
              <w:rPr>
                <w:rFonts w:ascii="Arial" w:eastAsia="Times New Roman" w:hAnsi="Arial" w:cs="Arial"/>
                <w:b/>
                <w:bCs/>
              </w:rPr>
              <w:t>Медико-технічні</w:t>
            </w:r>
            <w:proofErr w:type="spellEnd"/>
            <w:r w:rsidRPr="00302E4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b/>
                <w:bCs/>
              </w:rPr>
              <w:t>вимоги</w:t>
            </w:r>
            <w:proofErr w:type="spellEnd"/>
          </w:p>
          <w:p w:rsidR="00122214" w:rsidRDefault="00122214" w:rsidP="0030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/>
              </w:rPr>
              <w:t xml:space="preserve">Код </w:t>
            </w:r>
            <w:bookmarkStart w:id="0" w:name="_GoBack"/>
            <w:r>
              <w:rPr>
                <w:rFonts w:ascii="Arial" w:eastAsia="Times New Roman" w:hAnsi="Arial" w:cs="Arial"/>
                <w:b/>
                <w:bCs/>
                <w:lang w:val="uk-UA"/>
              </w:rPr>
              <w:t xml:space="preserve">33690000-3 Лікарські засоби </w:t>
            </w:r>
          </w:p>
          <w:p w:rsidR="00122214" w:rsidRPr="00122214" w:rsidRDefault="00122214" w:rsidP="0030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/>
              </w:rPr>
              <w:t>різні(реагенти до аналізатора)</w:t>
            </w:r>
            <w:bookmarkEnd w:id="0"/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E4A" w:rsidRDefault="00302E4A" w:rsidP="0030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02E4A">
              <w:rPr>
                <w:rFonts w:ascii="Arial" w:eastAsia="Times New Roman" w:hAnsi="Arial" w:cs="Arial"/>
                <w:b/>
                <w:bCs/>
              </w:rPr>
              <w:t>Кількість</w:t>
            </w:r>
            <w:proofErr w:type="spellEnd"/>
          </w:p>
          <w:p w:rsidR="00122214" w:rsidRPr="00302E4A" w:rsidRDefault="00122214" w:rsidP="0030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E4A" w:rsidRDefault="00302E4A" w:rsidP="0030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02E4A">
              <w:rPr>
                <w:rFonts w:ascii="Arial" w:eastAsia="Times New Roman" w:hAnsi="Arial" w:cs="Arial"/>
                <w:b/>
                <w:bCs/>
              </w:rPr>
              <w:t>Пакування</w:t>
            </w:r>
            <w:proofErr w:type="spellEnd"/>
          </w:p>
          <w:p w:rsidR="00122214" w:rsidRPr="00302E4A" w:rsidRDefault="00122214" w:rsidP="0030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4A" w:rsidRPr="00302E4A" w:rsidRDefault="00302E4A" w:rsidP="001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02E4A">
              <w:rPr>
                <w:rFonts w:ascii="Arial" w:eastAsia="Times New Roman" w:hAnsi="Arial" w:cs="Arial"/>
                <w:b/>
                <w:bCs/>
              </w:rPr>
              <w:t>Підтвердження</w:t>
            </w:r>
            <w:proofErr w:type="spellEnd"/>
            <w:r w:rsidRPr="00302E4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b/>
                <w:bCs/>
              </w:rPr>
              <w:t>вимог</w:t>
            </w:r>
            <w:proofErr w:type="spellEnd"/>
            <w:r w:rsidRPr="00302E4A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b/>
                <w:bCs/>
              </w:rPr>
              <w:t>учасником</w:t>
            </w:r>
            <w:proofErr w:type="spellEnd"/>
          </w:p>
        </w:tc>
      </w:tr>
      <w:tr w:rsidR="00302E4A" w:rsidRPr="00302E4A" w:rsidTr="00122214">
        <w:trPr>
          <w:trHeight w:val="102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Реагент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 xml:space="preserve"> «M-52D Diluent» 20л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</w:rPr>
              <w:t xml:space="preserve">58237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Буферний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розчинник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зразків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 xml:space="preserve"> IVD (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діагностика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 xml:space="preserve"> in vitro ),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автоматичні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302E4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напівавтоматичні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АКТИВНІ ІНГРЕДІЄНТИ: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Боратний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буфер   5г/л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Хлорид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натрію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≤0.1%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уп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2E4A" w:rsidRPr="00302E4A" w:rsidTr="00122214">
        <w:trPr>
          <w:trHeight w:val="76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Реагент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 xml:space="preserve"> «M-52DIFF Lyse» 500мл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</w:rPr>
              <w:t xml:space="preserve">61165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Реагент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лізису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клітин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крові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 xml:space="preserve"> IVD (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діагностика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 xml:space="preserve"> in vitro 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АКТИВНІ ІНГРЕДІЄНТИ: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поверхньо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активні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речовини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</w:t>
            </w:r>
            <w:r w:rsidRPr="00302E4A">
              <w:rPr>
                <w:rFonts w:ascii="MS Gothic" w:eastAsia="MS Gothic" w:hAnsi="MS Gothic" w:cs="MS Gothic"/>
                <w:sz w:val="20"/>
                <w:szCs w:val="20"/>
                <w:lang w:val="ru-RU"/>
              </w:rPr>
              <w:t>＜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35г/л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фл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2E4A" w:rsidRPr="00302E4A" w:rsidTr="00122214">
        <w:trPr>
          <w:trHeight w:val="76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Реагент «</w:t>
            </w: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-52</w:t>
            </w: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LH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Lyse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 100мл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61165 Реагент для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лізису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клітин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крові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IVD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діагностика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vitro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АКТИВНІ ІНГРЕДІЄНТИ: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Четвертична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аммонійна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сіль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302E4A">
              <w:rPr>
                <w:rFonts w:ascii="MS Gothic" w:eastAsia="MS Gothic" w:hAnsi="MS Gothic" w:cs="MS Gothic"/>
                <w:sz w:val="20"/>
                <w:szCs w:val="20"/>
                <w:lang w:val="ru-RU"/>
              </w:rPr>
              <w:t>＜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50г/л 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Ізопропіловий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спирт  2-10г/л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фл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2E4A" w:rsidRPr="00302E4A" w:rsidTr="00122214">
        <w:trPr>
          <w:trHeight w:val="126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Реагент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 xml:space="preserve"> M-53P Probe Cleanser (50ml)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59058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Мийний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/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очищувальний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розчин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IVD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діагностика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vitro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) для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автоматизованих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напівавтоматизованих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сис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АКТИВНІ ІНГРЕДІЄНТИ: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-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Поверхньо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активні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речовини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&lt; 2,0 г/л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-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Гіпохлорид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натрію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&lt; 100,0 г/л</w:t>
            </w:r>
            <w:r w:rsidRPr="00302E4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Гідроксид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натрію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 xml:space="preserve"> &lt; 100,0 г/л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2E4A" w:rsidRPr="00302E4A" w:rsidTr="00122214">
        <w:trPr>
          <w:trHeight w:val="4302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Контрольний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матеріал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CBC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-5</w:t>
            </w: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DMR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1 </w:t>
            </w: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3.0 мл, норма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55866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Підрахунок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клітин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крові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IVD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діагностика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vitro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),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контрольний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матеріал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Матеріал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контрольний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повинен бути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аналізованим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контролем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всієї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крові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призначений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контролю</w:t>
            </w:r>
            <w:proofErr w:type="gram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значень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лічильниках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клітин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множинними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параметрами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гематології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Має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складатися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еритроцитів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лейкоцитів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ссавців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тромбоцитів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людини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суспендованих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плазмоподібній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рідині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 консервантами. </w:t>
            </w:r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Контрольний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матеріал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повинен бути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адаптованим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відповідного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типу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аналізатора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Підтвердженням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відповідності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технічним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вимогам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повинно бути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офіційне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посилання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 документ (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інструкція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паспорт, то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що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) на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сумісність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приладу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можливість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даного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реагенту на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даній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моделі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аналізатора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шт</w:t>
            </w:r>
            <w:proofErr w:type="spellEnd"/>
            <w:r w:rsidRPr="00302E4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2E4A" w:rsidRPr="00302E4A" w:rsidTr="00122214">
        <w:trPr>
          <w:trHeight w:val="222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4" w:rsidRPr="00302E4A" w:rsidRDefault="00122214" w:rsidP="0012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E4A" w:rsidRPr="00302E4A" w:rsidRDefault="00302E4A" w:rsidP="0030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E4A" w:rsidRPr="00122214" w:rsidTr="00302E4A">
        <w:trPr>
          <w:trHeight w:val="5299"/>
        </w:trPr>
        <w:tc>
          <w:tcPr>
            <w:tcW w:w="18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E4A" w:rsidRDefault="00302E4A" w:rsidP="0030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Учасники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процедури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повинні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надати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своїх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електронному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сканованом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наступні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302E4A" w:rsidRDefault="00302E4A" w:rsidP="0030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авірені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підписом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уповноваженої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особи та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печаткою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здійснює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свою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діяльність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 печатки,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документи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завіряються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лише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02E4A" w:rsidRDefault="00302E4A" w:rsidP="0030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підписом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уповноваженої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відповідність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технічним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якісним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кількісним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іншим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вимогам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02E4A" w:rsidRDefault="00302E4A" w:rsidP="0030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предмета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встановленим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замовником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саме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1. Товар,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запропонований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Учасником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повинен бути внесений до Державного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реєстру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медичної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техніки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медичних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виробів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введений в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обіг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02E4A" w:rsidRDefault="00302E4A" w:rsidP="0030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технічного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передбаченому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порядку. </w:t>
            </w: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На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повинен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надати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копію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декларації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копію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можливість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введення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</w:p>
          <w:p w:rsidR="00302E4A" w:rsidRDefault="00302E4A" w:rsidP="0030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обіг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експлуатацію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медичного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виробу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процедури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технічного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02E4A" w:rsidRDefault="00302E4A" w:rsidP="0030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регламенту. </w:t>
            </w: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2.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Залишковий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термін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придатності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товару на момент </w:t>
            </w:r>
            <w:proofErr w:type="spellStart"/>
            <w:proofErr w:type="gram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постачання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повинен</w:t>
            </w:r>
            <w:proofErr w:type="gram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складати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ніж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60%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терміну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зберігання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02E4A" w:rsidRDefault="00302E4A" w:rsidP="0030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надати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гарантійний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лист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На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повинен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надати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гарантійний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лист.</w:t>
            </w: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3. З метою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запобігання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фальсифікатів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отримання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гарантій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своєчасне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постачання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товару у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кількості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якості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строками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придатності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302E4A" w:rsidRDefault="00302E4A" w:rsidP="0030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надає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гарантійного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листа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виробника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представництва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філії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виробника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поширюються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</w:p>
          <w:p w:rsidR="00302E4A" w:rsidRDefault="00302E4A" w:rsidP="0030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територію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іншого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уповноваженого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виробником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документальним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підтвердженням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такого),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підтверджується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можливість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02E4A" w:rsidRDefault="00302E4A" w:rsidP="0030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поставки товару,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є предметом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цього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оголошення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кількості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строками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придатності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в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визначені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цією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документацією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</w:t>
            </w:r>
          </w:p>
          <w:p w:rsidR="00302E4A" w:rsidRDefault="00302E4A" w:rsidP="0030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пропозицією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Гарантійний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лист повинен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включати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дату та номер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оголошення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оприлюдненого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веб-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порталі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Уповноваженого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органу, а </w:t>
            </w:r>
          </w:p>
          <w:p w:rsidR="00302E4A" w:rsidRDefault="00302E4A" w:rsidP="0030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назву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предмету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закупівлі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оголошення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назву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Замовника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гарантійний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лист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виданий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представництвом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філією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виробника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то </w:t>
            </w:r>
          </w:p>
          <w:p w:rsidR="00302E4A" w:rsidRDefault="00302E4A" w:rsidP="0030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повинен в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надати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документальне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таких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повноважень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наданих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виробником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товару.</w:t>
            </w: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4. При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поставці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кожна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партія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товару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супроводжуватися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документами,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сертифікат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якості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посвідчення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якості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302E4A" w:rsidRPr="00302E4A" w:rsidRDefault="00302E4A" w:rsidP="0030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вимагаються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чинним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На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складі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пропозиції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повинен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надати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гарантійний</w:t>
            </w:r>
            <w:proofErr w:type="spellEnd"/>
            <w:r w:rsidRPr="00302E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лист.</w:t>
            </w:r>
          </w:p>
        </w:tc>
      </w:tr>
    </w:tbl>
    <w:p w:rsidR="006B1578" w:rsidRPr="00302E4A" w:rsidRDefault="006B1578" w:rsidP="00302E4A">
      <w:pPr>
        <w:rPr>
          <w:lang w:val="ru-RU"/>
        </w:rPr>
      </w:pPr>
    </w:p>
    <w:sectPr w:rsidR="006B1578" w:rsidRPr="00302E4A" w:rsidSect="00302E4A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2A7"/>
    <w:multiLevelType w:val="singleLevel"/>
    <w:tmpl w:val="031E32A7"/>
    <w:lvl w:ilvl="0">
      <w:start w:val="1"/>
      <w:numFmt w:val="decimal"/>
      <w:suff w:val="space"/>
      <w:lvlText w:val="%1."/>
      <w:lvlJc w:val="left"/>
      <w:rPr>
        <w:rFonts w:hint="default"/>
        <w:highlight w:val="none"/>
      </w:rPr>
    </w:lvl>
  </w:abstractNum>
  <w:abstractNum w:abstractNumId="1" w15:restartNumberingAfterBreak="0">
    <w:nsid w:val="7D4E7853"/>
    <w:multiLevelType w:val="multilevel"/>
    <w:tmpl w:val="B93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2"/>
    <w:rsid w:val="000250EF"/>
    <w:rsid w:val="00122214"/>
    <w:rsid w:val="00282424"/>
    <w:rsid w:val="00294FD1"/>
    <w:rsid w:val="00302E4A"/>
    <w:rsid w:val="0032476E"/>
    <w:rsid w:val="00340AE2"/>
    <w:rsid w:val="004559A4"/>
    <w:rsid w:val="00506EB3"/>
    <w:rsid w:val="006B1578"/>
    <w:rsid w:val="009659B2"/>
    <w:rsid w:val="00C501F4"/>
    <w:rsid w:val="00D0474B"/>
    <w:rsid w:val="00D22FFC"/>
    <w:rsid w:val="00E33525"/>
    <w:rsid w:val="00E95352"/>
    <w:rsid w:val="00F8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7521"/>
  <w15:chartTrackingRefBased/>
  <w15:docId w15:val="{955F89C3-6C68-4588-B503-DB89D92B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6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6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0AE2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506E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06E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0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6E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B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4FD1"/>
    <w:pPr>
      <w:ind w:left="720"/>
      <w:contextualSpacing/>
    </w:pPr>
  </w:style>
  <w:style w:type="paragraph" w:styleId="21">
    <w:name w:val="Body Text Indent 2"/>
    <w:basedOn w:val="a"/>
    <w:link w:val="210"/>
    <w:unhideWhenUsed/>
    <w:rsid w:val="006B1578"/>
    <w:pPr>
      <w:widowControl w:val="0"/>
      <w:suppressAutoHyphens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character" w:customStyle="1" w:styleId="22">
    <w:name w:val="Основной текст с отступом 2 Знак"/>
    <w:basedOn w:val="a0"/>
    <w:uiPriority w:val="99"/>
    <w:semiHidden/>
    <w:rsid w:val="006B1578"/>
  </w:style>
  <w:style w:type="character" w:customStyle="1" w:styleId="210">
    <w:name w:val="Основной текст с отступом 2 Знак1"/>
    <w:link w:val="21"/>
    <w:rsid w:val="006B1578"/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character" w:customStyle="1" w:styleId="FontStyle24">
    <w:name w:val="Font Style24"/>
    <w:uiPriority w:val="99"/>
    <w:qFormat/>
    <w:rsid w:val="006B1578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37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2024-01-16T08:09:00Z</cp:lastPrinted>
  <dcterms:created xsi:type="dcterms:W3CDTF">2024-03-05T11:09:00Z</dcterms:created>
  <dcterms:modified xsi:type="dcterms:W3CDTF">2024-03-05T12:05:00Z</dcterms:modified>
</cp:coreProperties>
</file>