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1532C3C1"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DA6534" w:rsidRPr="00DA6534">
        <w:rPr>
          <w:b/>
          <w:sz w:val="24"/>
          <w:szCs w:val="24"/>
          <w:lang w:val="uk-UA"/>
        </w:rPr>
        <w:t xml:space="preserve">ДК 021:2015 – </w:t>
      </w:r>
      <w:r w:rsidR="00C916F0">
        <w:rPr>
          <w:b/>
          <w:sz w:val="24"/>
          <w:szCs w:val="24"/>
          <w:lang w:val="uk-UA"/>
        </w:rPr>
        <w:t>34630000-2</w:t>
      </w:r>
      <w:r w:rsidR="00DA6534" w:rsidRPr="00DA6534">
        <w:rPr>
          <w:b/>
          <w:sz w:val="24"/>
          <w:szCs w:val="24"/>
          <w:lang w:val="uk-UA"/>
        </w:rPr>
        <w:t xml:space="preserve"> </w:t>
      </w:r>
      <w:r w:rsidR="00C916F0">
        <w:rPr>
          <w:b/>
          <w:sz w:val="24"/>
          <w:szCs w:val="24"/>
          <w:lang w:val="uk-UA"/>
        </w:rPr>
        <w:t>–</w:t>
      </w:r>
      <w:r w:rsidR="00DA6534" w:rsidRPr="00DA6534">
        <w:rPr>
          <w:b/>
          <w:sz w:val="24"/>
          <w:szCs w:val="24"/>
          <w:lang w:val="uk-UA"/>
        </w:rPr>
        <w:t xml:space="preserve"> </w:t>
      </w:r>
      <w:r w:rsidR="00C916F0">
        <w:rPr>
          <w:b/>
          <w:sz w:val="24"/>
          <w:szCs w:val="24"/>
          <w:lang w:val="uk-UA"/>
        </w:rPr>
        <w:t>Частини залізничних або трамвайних локомотивів чи рейкового рухомого складу</w:t>
      </w:r>
      <w:r w:rsidR="00C916F0" w:rsidRPr="00C916F0">
        <w:rPr>
          <w:b/>
          <w:sz w:val="24"/>
          <w:szCs w:val="24"/>
        </w:rPr>
        <w:t>;</w:t>
      </w:r>
      <w:r w:rsidR="00C916F0">
        <w:rPr>
          <w:b/>
          <w:sz w:val="24"/>
          <w:szCs w:val="24"/>
          <w:lang w:val="uk-UA"/>
        </w:rPr>
        <w:t>обладнання для контролю залізничного руху</w:t>
      </w:r>
      <w:r w:rsidR="00DA6534" w:rsidRPr="00DA6534">
        <w:rPr>
          <w:b/>
          <w:sz w:val="24"/>
          <w:szCs w:val="24"/>
          <w:lang w:val="uk-UA"/>
        </w:rPr>
        <w:t xml:space="preserve"> (</w:t>
      </w:r>
      <w:r w:rsidR="007431F2">
        <w:rPr>
          <w:b/>
          <w:sz w:val="24"/>
          <w:szCs w:val="24"/>
          <w:lang w:val="uk-UA"/>
        </w:rPr>
        <w:t>плита упорна</w:t>
      </w:r>
      <w:bookmarkStart w:id="9" w:name="_GoBack"/>
      <w:bookmarkEnd w:id="9"/>
      <w:r w:rsidR="00DA6534" w:rsidRPr="00DA6534">
        <w:rPr>
          <w:b/>
          <w:sz w:val="24"/>
          <w:szCs w:val="24"/>
          <w:lang w:val="uk-UA"/>
        </w:rPr>
        <w:t>)</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відповідає нормативно-технічним документам та характеристикам, зазначеним у </w:t>
      </w:r>
      <w:r w:rsidRPr="007B1EB5">
        <w:rPr>
          <w:sz w:val="24"/>
          <w:szCs w:val="24"/>
          <w:lang w:val="uk-UA"/>
        </w:rPr>
        <w:lastRenderedPageBreak/>
        <w:t>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4FA265F"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399E5F4A"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DA5A7D" w:rsidRPr="00DA5A7D">
        <w:rPr>
          <w:sz w:val="24"/>
          <w:szCs w:val="24"/>
          <w:lang w:val="uk-UA"/>
        </w:rPr>
        <w:t xml:space="preserve"> (</w:t>
      </w:r>
      <w:r w:rsidR="004E1F48">
        <w:rPr>
          <w:sz w:val="24"/>
          <w:szCs w:val="24"/>
          <w:lang w:val="uk-UA"/>
        </w:rPr>
        <w:t>сорок 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344AED1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0CB9307D"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6D7FBF01"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7745F9">
        <w:rPr>
          <w:rFonts w:ascii="Times New Roman" w:hAnsi="Times New Roman" w:cs="Times New Roman"/>
          <w:sz w:val="24"/>
          <w:szCs w:val="24"/>
          <w:lang w:val="uk-UA"/>
        </w:rPr>
        <w:t>__</w:t>
      </w:r>
      <w:r w:rsidR="00B416C7">
        <w:rPr>
          <w:rFonts w:ascii="Times New Roman" w:hAnsi="Times New Roman" w:cs="Times New Roman"/>
          <w:sz w:val="24"/>
          <w:szCs w:val="24"/>
          <w:lang w:val="uk-UA"/>
        </w:rPr>
        <w:t xml:space="preserve"> (</w:t>
      </w:r>
      <w:r w:rsidR="007745F9">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lastRenderedPageBreak/>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7B1EB5">
        <w:rPr>
          <w:bCs/>
          <w:color w:val="000000"/>
          <w:sz w:val="24"/>
          <w:szCs w:val="24"/>
          <w:lang w:val="uk-UA" w:eastAsia="zh-CN"/>
        </w:rPr>
        <w:t>вигод</w:t>
      </w:r>
      <w:proofErr w:type="spellEnd"/>
      <w:r w:rsidRPr="007B1EB5">
        <w:rPr>
          <w:bCs/>
          <w:color w:val="000000"/>
          <w:sz w:val="24"/>
          <w:szCs w:val="24"/>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w:t>
      </w:r>
      <w:r w:rsidRPr="007B1EB5">
        <w:rPr>
          <w:bCs/>
          <w:color w:val="000000"/>
          <w:sz w:val="24"/>
          <w:szCs w:val="24"/>
          <w:lang w:val="uk-UA" w:eastAsia="zh-CN"/>
        </w:rPr>
        <w:lastRenderedPageBreak/>
        <w:t>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lastRenderedPageBreak/>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вул. Зубенка,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9E754" w14:textId="77777777" w:rsidR="00433F77" w:rsidRDefault="00433F77">
      <w:pPr>
        <w:spacing w:after="0" w:line="240" w:lineRule="auto"/>
      </w:pPr>
      <w:r>
        <w:separator/>
      </w:r>
    </w:p>
  </w:endnote>
  <w:endnote w:type="continuationSeparator" w:id="0">
    <w:p w14:paraId="20C6F4BB" w14:textId="77777777" w:rsidR="00433F77" w:rsidRDefault="0043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9B0D" w14:textId="77777777" w:rsidR="00433F77" w:rsidRDefault="00433F77">
      <w:pPr>
        <w:spacing w:after="0" w:line="240" w:lineRule="auto"/>
      </w:pPr>
      <w:r>
        <w:separator/>
      </w:r>
    </w:p>
  </w:footnote>
  <w:footnote w:type="continuationSeparator" w:id="0">
    <w:p w14:paraId="2DF570FE" w14:textId="77777777" w:rsidR="00433F77" w:rsidRDefault="00433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7431F2">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7431F2">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A28F8"/>
    <w:rsid w:val="001B4469"/>
    <w:rsid w:val="001D496F"/>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3F77"/>
    <w:rsid w:val="00436E9B"/>
    <w:rsid w:val="00442703"/>
    <w:rsid w:val="004444EB"/>
    <w:rsid w:val="00470586"/>
    <w:rsid w:val="00487718"/>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31F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63A7A"/>
    <w:rsid w:val="00C65F22"/>
    <w:rsid w:val="00C72950"/>
    <w:rsid w:val="00C916F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A6534"/>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9143</Words>
  <Characters>52121</Characters>
  <Application>Microsoft Office Word</Application>
  <DocSecurity>0</DocSecurity>
  <Lines>434</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21-</cp:lastModifiedBy>
  <cp:revision>21</cp:revision>
  <cp:lastPrinted>2023-01-30T10:12:00Z</cp:lastPrinted>
  <dcterms:created xsi:type="dcterms:W3CDTF">2023-02-02T06:17:00Z</dcterms:created>
  <dcterms:modified xsi:type="dcterms:W3CDTF">2023-08-10T08:52:00Z</dcterms:modified>
</cp:coreProperties>
</file>