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53" w:rsidRDefault="009C12BA" w:rsidP="009F648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E11453" w:rsidRDefault="009C12B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E11453" w:rsidRDefault="009C12B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E11453" w:rsidRPr="00D70FBB" w:rsidRDefault="009C12BA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D70F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D70F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D70F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9F648D" w:rsidRPr="00D70FBB" w:rsidRDefault="009F648D" w:rsidP="009F648D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E1145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453" w:rsidRDefault="009C12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453" w:rsidRDefault="009C12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453" w:rsidRDefault="009C12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E11453" w:rsidRPr="00D70FBB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11453" w:rsidRPr="0028458E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284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84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284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gramEnd"/>
          </w:p>
          <w:p w:rsidR="00E11453" w:rsidRDefault="00E11453" w:rsidP="0028458E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28458E" w:rsidRDefault="00E114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E11453" w:rsidRPr="0028458E" w:rsidRDefault="009C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8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</w:t>
            </w:r>
            <w:r w:rsidR="0028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28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E11453" w:rsidRPr="001A6ADD" w:rsidRDefault="009C12BA" w:rsidP="0028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1A6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E11453" w:rsidRPr="004D4DB1" w:rsidTr="001A6ADD">
        <w:trPr>
          <w:trHeight w:val="144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E11453" w:rsidRPr="00E07AB4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E07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E07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E07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gramEnd"/>
          </w:p>
          <w:p w:rsidR="00E11453" w:rsidRPr="00E07AB4" w:rsidRDefault="00E11453" w:rsidP="00E07AB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D4DB1" w:rsidRDefault="00E114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11453" w:rsidRPr="004D4DB1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E11453" w:rsidRPr="004D4DB1" w:rsidRDefault="009C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1</w:t>
            </w:r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E11453" w:rsidRPr="00D70FBB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1A6ADD" w:rsidRDefault="009C12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A6A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E11453" w:rsidRPr="004D4DB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</w:t>
                  </w:r>
                  <w:proofErr w:type="gramStart"/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9C1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4D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E11453" w:rsidRPr="004D4DB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E11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E11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E11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E11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453" w:rsidRPr="004D4DB1" w:rsidRDefault="00E11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1453" w:rsidRPr="004D4DB1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E11453" w:rsidRPr="004D4DB1" w:rsidRDefault="00E1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106" w:rsidRPr="001A6ADD" w:rsidRDefault="009C12BA" w:rsidP="0012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довідки додати документ на кожного працівника </w:t>
            </w:r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 документі має бути зазначено </w:t>
            </w:r>
            <w:proofErr w:type="gramStart"/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ізвище</w:t>
            </w:r>
            <w:r w:rsidR="004D4DB1"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4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ініціали працівника, або прізвище, ім’я, по батькові працівника)</w:t>
            </w:r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/ субпідрядником / співвиконавцем (наприклад: штатний розпис / трудовий договір / договір про надання послуг / копію трудової книжки (перша сторінка, що містить інформацію про </w:t>
            </w:r>
            <w:proofErr w:type="gramStart"/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DB1">
              <w:rPr>
                <w:rFonts w:ascii="Times New Roman" w:eastAsia="Times New Roman" w:hAnsi="Times New Roman" w:cs="Times New Roman"/>
                <w:sz w:val="20"/>
                <w:szCs w:val="20"/>
              </w:rPr>
              <w:t>ІБ працівника, та сторінка, що містить запис про прийняття на роботу) / інший документ).</w:t>
            </w:r>
          </w:p>
          <w:p w:rsidR="001A6ADD" w:rsidRPr="001A6ADD" w:rsidRDefault="001A6ADD" w:rsidP="001A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145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410" w:rsidRDefault="000F5410" w:rsidP="000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F5410" w:rsidRDefault="000F5410" w:rsidP="000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327025" w:rsidRDefault="000F5410" w:rsidP="000F54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який </w:t>
            </w:r>
            <w:r w:rsidRPr="00AB15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підтверджує наявність в учасника досвіду </w:t>
            </w:r>
            <w:r w:rsidR="00327025" w:rsidRPr="00327025">
              <w:rPr>
                <w:rFonts w:ascii="Times New Roman" w:hAnsi="Times New Roman" w:cs="Times New Roman"/>
                <w:i/>
                <w:sz w:val="20"/>
                <w:szCs w:val="20"/>
              </w:rPr>
              <w:t>про</w:t>
            </w:r>
            <w:r w:rsidR="00327025" w:rsidRPr="00327025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327025" w:rsidRPr="00327025">
              <w:rPr>
                <w:rFonts w:ascii="Times New Roman" w:hAnsi="Times New Roman" w:cs="Times New Roman"/>
                <w:i/>
                <w:sz w:val="20"/>
                <w:szCs w:val="20"/>
              </w:rPr>
              <w:t>виконання</w:t>
            </w:r>
            <w:r w:rsidR="00327025" w:rsidRPr="00327025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327025" w:rsidRPr="00327025">
              <w:rPr>
                <w:rFonts w:ascii="Times New Roman" w:hAnsi="Times New Roman" w:cs="Times New Roman"/>
                <w:i/>
                <w:sz w:val="20"/>
                <w:szCs w:val="20"/>
              </w:rPr>
              <w:t>договорів з капітального або поточного ремонту</w:t>
            </w:r>
            <w:r w:rsidR="00737C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доріг та</w:t>
            </w:r>
            <w:r w:rsidR="00327025" w:rsidRPr="003270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тротуарів за кодом ДК 021:2015: </w:t>
            </w:r>
            <w:r w:rsidR="003270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327025" w:rsidRPr="00327025">
              <w:rPr>
                <w:rFonts w:ascii="Times New Roman" w:hAnsi="Times New Roman" w:cs="Times New Roman"/>
                <w:i/>
                <w:sz w:val="20"/>
                <w:szCs w:val="20"/>
              </w:rPr>
              <w:t>45230000-8 —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="003270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0F5410" w:rsidRPr="006F21A0" w:rsidRDefault="000F5410" w:rsidP="000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27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  <w:r w:rsidRPr="00327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32702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327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E5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Pr="00E54B5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E5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4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який зазначено </w:t>
            </w:r>
            <w:proofErr w:type="gramStart"/>
            <w:r w:rsidRPr="00E54B51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E54B51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та надано у складі тендерної пропозиції про</w:t>
            </w:r>
            <w:r w:rsidRPr="00E5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належне виконання цього договору</w:t>
            </w:r>
            <w:r w:rsidRPr="00E5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0F5410" w:rsidRDefault="000F5410" w:rsidP="000F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5410" w:rsidRPr="001B1010" w:rsidRDefault="000F5410" w:rsidP="000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1B10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1B10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E11453" w:rsidRDefault="000F5410" w:rsidP="000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E11453" w:rsidRDefault="009C12B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11453" w:rsidRPr="006F49B3" w:rsidRDefault="009C12B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49B3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6F49B3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6F49B3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6F49B3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визначеним у пункті 47 Особливостей.</w:t>
      </w:r>
    </w:p>
    <w:p w:rsidR="00E11453" w:rsidRPr="006F49B3" w:rsidRDefault="009C12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49B3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47 Особливостей.</w:t>
      </w:r>
    </w:p>
    <w:p w:rsidR="00E11453" w:rsidRPr="006F49B3" w:rsidRDefault="009C12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49B3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11453" w:rsidRPr="006F49B3" w:rsidRDefault="009C12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49B3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11453" w:rsidRPr="006F49B3" w:rsidRDefault="009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6F49B3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E11453" w:rsidRPr="006F49B3" w:rsidRDefault="009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6F49B3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6F49B3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F49B3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6F49B3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6F49B3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6F49B3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6F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B3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E11453" w:rsidRDefault="00E1145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E11453" w:rsidRPr="004A1789" w:rsidRDefault="009C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A1789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4A1789">
        <w:rPr>
          <w:rFonts w:ascii="Times New Roman" w:eastAsia="Times New Roman" w:hAnsi="Times New Roman" w:cs="Times New Roman"/>
          <w:b/>
        </w:rPr>
        <w:t>п</w:t>
      </w:r>
      <w:proofErr w:type="gramEnd"/>
      <w:r w:rsidRPr="004A1789">
        <w:rPr>
          <w:rFonts w:ascii="Times New Roman" w:eastAsia="Times New Roman" w:hAnsi="Times New Roman" w:cs="Times New Roman"/>
          <w:b/>
        </w:rPr>
        <w:t xml:space="preserve">ідтвердження відповідності ПЕРЕМОЖЦЯ вимогам, визначеним у пункті </w:t>
      </w:r>
      <w:r w:rsidRPr="004A1789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4A1789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E11453" w:rsidRPr="004A1789" w:rsidRDefault="009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789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4A1789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4A1789">
        <w:rPr>
          <w:rFonts w:ascii="Times New Roman" w:eastAsia="Times New Roman" w:hAnsi="Times New Roman" w:cs="Times New Roman"/>
          <w:sz w:val="20"/>
          <w:szCs w:val="20"/>
        </w:rPr>
        <w:t xml:space="preserve">і у строк, що </w:t>
      </w:r>
      <w:r w:rsidRPr="004A178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4A1789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E11453" w:rsidRPr="004A1789" w:rsidRDefault="009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1789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</w:t>
      </w:r>
      <w:r w:rsidRPr="004A1789">
        <w:rPr>
          <w:rFonts w:ascii="Times New Roman" w:eastAsia="Times New Roman" w:hAnsi="Times New Roman" w:cs="Times New Roman"/>
          <w:sz w:val="20"/>
          <w:szCs w:val="20"/>
        </w:rPr>
        <w:lastRenderedPageBreak/>
        <w:t>відповідний строк.</w:t>
      </w:r>
      <w:proofErr w:type="gramEnd"/>
    </w:p>
    <w:p w:rsidR="00E11453" w:rsidRDefault="00E114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E11453" w:rsidRDefault="009C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E1145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E11453" w:rsidRPr="004A1789" w:rsidRDefault="00E114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E1145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11453" w:rsidRPr="004A1789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E1145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11453" w:rsidRDefault="009C1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E11453" w:rsidRDefault="00E1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E1145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формами торгівлі людьми.</w:t>
            </w:r>
          </w:p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E11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45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11453" w:rsidRDefault="00E114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11453" w:rsidRDefault="009C12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E1145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E11453" w:rsidRPr="004A1789" w:rsidRDefault="00E114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E1145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</w:t>
            </w: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 корупцією.</w:t>
            </w:r>
          </w:p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E1145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11453" w:rsidRDefault="00E1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145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1453" w:rsidRPr="004A1789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E11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45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E11453" w:rsidRDefault="00E1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453" w:rsidRDefault="009C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845" w:type="dxa"/>
        <w:tblInd w:w="-100" w:type="dxa"/>
        <w:tblLayout w:type="fixed"/>
        <w:tblLook w:val="0400"/>
      </w:tblPr>
      <w:tblGrid>
        <w:gridCol w:w="626"/>
        <w:gridCol w:w="9219"/>
      </w:tblGrid>
      <w:tr w:rsidR="00E11453" w:rsidTr="005E784F">
        <w:trPr>
          <w:trHeight w:val="124"/>
        </w:trPr>
        <w:tc>
          <w:tcPr>
            <w:tcW w:w="9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11453" w:rsidTr="005E784F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11453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11453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E11453" w:rsidRDefault="009C12BA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E11453" w:rsidRDefault="009C12B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E11453" w:rsidRDefault="009C12BA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E11453" w:rsidRDefault="009C12B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E11453" w:rsidRDefault="009C12BA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E11453" w:rsidRDefault="009C12B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E11453" w:rsidRDefault="009C12B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E11453" w:rsidRDefault="009C12BA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E11453" w:rsidRDefault="009C12BA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E11453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Default="009C12B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53" w:rsidRPr="004A1789" w:rsidRDefault="009C12B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4A17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4A1789">
              <w:rPr>
                <w:rFonts w:ascii="Times New Roman" w:eastAsia="Times New Roman" w:hAnsi="Times New Roman" w:cs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  <w:tr w:rsidR="00E72136" w:rsidRPr="00D70FBB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E72136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E72136" w:rsidRDefault="00E72136" w:rsidP="00862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E72136"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  <w:t>Учасник надає цінову пропозицію (договірну ціну, пояснювальну записку, локальний кошторис,</w:t>
            </w:r>
            <w:r w:rsidR="00C91383"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  <w:t xml:space="preserve"> зведений кошторисний розрахунок вартості об’єкта,</w:t>
            </w:r>
            <w:r w:rsidRPr="00E72136"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  <w:t xml:space="preserve"> підсумкову відомість ресурсів, </w:t>
            </w:r>
            <w:r w:rsidRPr="00E72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розрахунки прибутку, загальновиробничих та адміністративних витрат</w:t>
            </w:r>
            <w:r w:rsidRPr="00E72136"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  <w:t xml:space="preserve">), яка розраховується відповідно до </w:t>
            </w:r>
            <w:r w:rsidRPr="00E72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</w:t>
            </w:r>
            <w:r w:rsidRPr="00E7213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, затверджених наказом Міністерства розвитку громад та територій України  від 01 листопада 2021року № 281, з врахуванням змін та складена</w:t>
            </w:r>
            <w:r w:rsidRPr="00E72136">
              <w:rPr>
                <w:rFonts w:ascii="Arial" w:hAnsi="Arial" w:cs="Arial"/>
                <w:i/>
                <w:iCs/>
                <w:color w:val="6D6D6D"/>
                <w:sz w:val="21"/>
                <w:szCs w:val="21"/>
                <w:shd w:val="clear" w:color="auto" w:fill="FDFEFD"/>
                <w:lang w:val="uk-UA"/>
              </w:rPr>
              <w:t xml:space="preserve">  </w:t>
            </w:r>
            <w:r w:rsidRPr="00E7213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DFEFD"/>
                <w:lang w:val="uk-UA"/>
              </w:rPr>
              <w:t>із застосуванням програмного комплексу АВК-5, АС 4, тощо.</w:t>
            </w:r>
          </w:p>
        </w:tc>
      </w:tr>
      <w:tr w:rsidR="006C0309" w:rsidRPr="001A6ADD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09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09" w:rsidRPr="00511861" w:rsidRDefault="00511861" w:rsidP="008625ED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</w:pP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Витяг</w:t>
            </w:r>
            <w:r w:rsidRPr="005118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(Виписка)</w:t>
            </w:r>
            <w:r w:rsidRPr="0051186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18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r w:rsidRPr="0051186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державного</w:t>
            </w:r>
            <w:r w:rsidRPr="0051186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r w:rsidRPr="005118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r w:rsidRPr="005118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осіб,</w:t>
            </w:r>
            <w:r w:rsidRPr="0051186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r w:rsidRPr="005118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r w:rsidRPr="0051186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ідприємців</w:t>
            </w:r>
            <w:r w:rsidRPr="0051186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та громадських</w:t>
            </w:r>
            <w:r w:rsidRPr="005118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</w:p>
        </w:tc>
      </w:tr>
      <w:tr w:rsidR="006C0309" w:rsidRPr="00D70FBB" w:rsidTr="005E784F">
        <w:trPr>
          <w:trHeight w:val="56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09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861" w:rsidRPr="00511861" w:rsidRDefault="00511861" w:rsidP="00511861">
            <w:pPr>
              <w:widowControl w:val="0"/>
              <w:tabs>
                <w:tab w:val="left" w:pos="847"/>
              </w:tabs>
              <w:autoSpaceDE w:val="0"/>
              <w:autoSpaceDN w:val="0"/>
              <w:spacing w:before="6" w:after="0" w:line="237" w:lineRule="auto"/>
              <w:ind w:right="4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довільній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формі про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(відсутність)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заборгованості по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сплаті податків</w:t>
            </w:r>
            <w:r w:rsidRPr="00511861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11861">
              <w:rPr>
                <w:rFonts w:ascii="Times New Roman" w:hAnsi="Times New Roman" w:cs="Times New Roman"/>
                <w:spacing w:val="-58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зборів</w:t>
            </w:r>
            <w:r w:rsidRPr="00511861">
              <w:rPr>
                <w:rFonts w:ascii="Times New Roman" w:hAnsi="Times New Roman" w:cs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(обов’язкових</w:t>
            </w:r>
            <w:r w:rsidRPr="00511861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51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платежів).</w:t>
            </w:r>
          </w:p>
          <w:p w:rsidR="006C0309" w:rsidRPr="00511861" w:rsidRDefault="006C0309" w:rsidP="008625ED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  <w:lang w:val="uk-UA"/>
              </w:rPr>
            </w:pPr>
          </w:p>
        </w:tc>
      </w:tr>
      <w:tr w:rsidR="00C91383" w:rsidRPr="00D70FBB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83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83" w:rsidRPr="008966D4" w:rsidRDefault="00C91383" w:rsidP="00C91383">
            <w:pPr>
              <w:widowControl w:val="0"/>
              <w:tabs>
                <w:tab w:val="left" w:pos="832"/>
              </w:tabs>
              <w:autoSpaceDE w:val="0"/>
              <w:autoSpaceDN w:val="0"/>
              <w:spacing w:after="0" w:line="240" w:lineRule="auto"/>
              <w:ind w:right="4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Копію Статуту або копію витягу зі Статуту (перша сторінка, сторінка(и) з переліком видів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підприємства,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сторінка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(и)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повноважень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загальних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зборів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(акціонерів та /або учасників) та остання сторінка), або іншого установчого документу (для</w:t>
            </w:r>
            <w:r w:rsidRPr="008966D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юридичних</w:t>
            </w:r>
            <w:r w:rsidRPr="008966D4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896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осіб).</w:t>
            </w:r>
          </w:p>
          <w:p w:rsidR="00C91383" w:rsidRPr="008966D4" w:rsidRDefault="00C91383" w:rsidP="00511861">
            <w:pPr>
              <w:widowControl w:val="0"/>
              <w:tabs>
                <w:tab w:val="left" w:pos="847"/>
              </w:tabs>
              <w:autoSpaceDE w:val="0"/>
              <w:autoSpaceDN w:val="0"/>
              <w:spacing w:before="6" w:after="0" w:line="237" w:lineRule="auto"/>
              <w:ind w:right="4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2136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E72136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784482" w:rsidRDefault="00E72136" w:rsidP="008625ED">
            <w:pPr>
              <w:spacing w:before="183" w:line="276" w:lineRule="auto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82">
              <w:rPr>
                <w:rFonts w:ascii="Times New Roman" w:hAnsi="Times New Roman" w:cs="Times New Roman"/>
                <w:sz w:val="20"/>
                <w:szCs w:val="20"/>
              </w:rPr>
              <w:t xml:space="preserve">Заповнена ФОРМА «ТЕНДЕРНОЇ ПРОПОЗИЦІЇ»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формі,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наведен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ій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784482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78448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482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r w:rsidRPr="0078448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4482">
              <w:rPr>
                <w:rFonts w:ascii="Times New Roman" w:hAnsi="Times New Roman" w:cs="Times New Roman"/>
                <w:sz w:val="20"/>
                <w:szCs w:val="20"/>
              </w:rPr>
              <w:t>документації.</w:t>
            </w:r>
          </w:p>
        </w:tc>
      </w:tr>
      <w:tr w:rsidR="00E72136" w:rsidTr="005E784F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E72136" w:rsidRDefault="00D70F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36" w:rsidRPr="008C1D57" w:rsidRDefault="00E72136" w:rsidP="00862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8C1D57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Лист щодо </w:t>
            </w:r>
            <w:proofErr w:type="gramStart"/>
            <w:r w:rsidRPr="008C1D57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п</w:t>
            </w:r>
            <w:proofErr w:type="gramEnd"/>
            <w:r w:rsidRPr="008C1D57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ідтвердження можливості виконання робіт без отримання авансового платежу.</w:t>
            </w:r>
          </w:p>
          <w:p w:rsidR="00E72136" w:rsidRPr="008C1D57" w:rsidRDefault="00E72136" w:rsidP="008625E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</w:p>
        </w:tc>
      </w:tr>
    </w:tbl>
    <w:p w:rsidR="00E11453" w:rsidRDefault="00E114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453" w:rsidRDefault="00E114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E11453" w:rsidSect="00E1145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4F"/>
    <w:multiLevelType w:val="multilevel"/>
    <w:tmpl w:val="C2B67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771384A"/>
    <w:multiLevelType w:val="multilevel"/>
    <w:tmpl w:val="6DDC1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F849FD"/>
    <w:multiLevelType w:val="multilevel"/>
    <w:tmpl w:val="76365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1207EF"/>
    <w:multiLevelType w:val="multilevel"/>
    <w:tmpl w:val="12FC9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FCB"/>
    <w:multiLevelType w:val="hybridMultilevel"/>
    <w:tmpl w:val="8F72765E"/>
    <w:lvl w:ilvl="0" w:tplc="73784B2E">
      <w:start w:val="1"/>
      <w:numFmt w:val="decimal"/>
      <w:lvlText w:val="%1."/>
      <w:lvlJc w:val="left"/>
      <w:pPr>
        <w:ind w:left="558" w:hanging="293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8828109A">
      <w:start w:val="1"/>
      <w:numFmt w:val="decimal"/>
      <w:lvlText w:val="%2."/>
      <w:lvlJc w:val="left"/>
      <w:pPr>
        <w:ind w:left="5038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uk-UA" w:eastAsia="en-US" w:bidi="ar-SA"/>
      </w:rPr>
    </w:lvl>
    <w:lvl w:ilvl="2" w:tplc="68AABE6A">
      <w:numFmt w:val="bullet"/>
      <w:lvlText w:val="•"/>
      <w:lvlJc w:val="left"/>
      <w:pPr>
        <w:ind w:left="5700" w:hanging="231"/>
      </w:pPr>
      <w:rPr>
        <w:rFonts w:hint="default"/>
        <w:lang w:val="uk-UA" w:eastAsia="en-US" w:bidi="ar-SA"/>
      </w:rPr>
    </w:lvl>
    <w:lvl w:ilvl="3" w:tplc="A1C6949E">
      <w:numFmt w:val="bullet"/>
      <w:lvlText w:val="•"/>
      <w:lvlJc w:val="left"/>
      <w:pPr>
        <w:ind w:left="6360" w:hanging="231"/>
      </w:pPr>
      <w:rPr>
        <w:rFonts w:hint="default"/>
        <w:lang w:val="uk-UA" w:eastAsia="en-US" w:bidi="ar-SA"/>
      </w:rPr>
    </w:lvl>
    <w:lvl w:ilvl="4" w:tplc="E4A2E19C">
      <w:numFmt w:val="bullet"/>
      <w:lvlText w:val="•"/>
      <w:lvlJc w:val="left"/>
      <w:pPr>
        <w:ind w:left="7021" w:hanging="231"/>
      </w:pPr>
      <w:rPr>
        <w:rFonts w:hint="default"/>
        <w:lang w:val="uk-UA" w:eastAsia="en-US" w:bidi="ar-SA"/>
      </w:rPr>
    </w:lvl>
    <w:lvl w:ilvl="5" w:tplc="B9100EB2">
      <w:numFmt w:val="bullet"/>
      <w:lvlText w:val="•"/>
      <w:lvlJc w:val="left"/>
      <w:pPr>
        <w:ind w:left="7681" w:hanging="231"/>
      </w:pPr>
      <w:rPr>
        <w:rFonts w:hint="default"/>
        <w:lang w:val="uk-UA" w:eastAsia="en-US" w:bidi="ar-SA"/>
      </w:rPr>
    </w:lvl>
    <w:lvl w:ilvl="6" w:tplc="07A8F654">
      <w:numFmt w:val="bullet"/>
      <w:lvlText w:val="•"/>
      <w:lvlJc w:val="left"/>
      <w:pPr>
        <w:ind w:left="8342" w:hanging="231"/>
      </w:pPr>
      <w:rPr>
        <w:rFonts w:hint="default"/>
        <w:lang w:val="uk-UA" w:eastAsia="en-US" w:bidi="ar-SA"/>
      </w:rPr>
    </w:lvl>
    <w:lvl w:ilvl="7" w:tplc="8ED40736">
      <w:numFmt w:val="bullet"/>
      <w:lvlText w:val="•"/>
      <w:lvlJc w:val="left"/>
      <w:pPr>
        <w:ind w:left="9002" w:hanging="231"/>
      </w:pPr>
      <w:rPr>
        <w:rFonts w:hint="default"/>
        <w:lang w:val="uk-UA" w:eastAsia="en-US" w:bidi="ar-SA"/>
      </w:rPr>
    </w:lvl>
    <w:lvl w:ilvl="8" w:tplc="249E0B78">
      <w:numFmt w:val="bullet"/>
      <w:lvlText w:val="•"/>
      <w:lvlJc w:val="left"/>
      <w:pPr>
        <w:ind w:left="9663" w:hanging="231"/>
      </w:pPr>
      <w:rPr>
        <w:rFonts w:hint="default"/>
        <w:lang w:val="uk-UA" w:eastAsia="en-US" w:bidi="ar-SA"/>
      </w:rPr>
    </w:lvl>
  </w:abstractNum>
  <w:abstractNum w:abstractNumId="5">
    <w:nsid w:val="56E13D1B"/>
    <w:multiLevelType w:val="multilevel"/>
    <w:tmpl w:val="FB64E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3A55EDF"/>
    <w:multiLevelType w:val="multilevel"/>
    <w:tmpl w:val="2C8085B4"/>
    <w:lvl w:ilvl="0">
      <w:start w:val="2"/>
      <w:numFmt w:val="decimal"/>
      <w:lvlText w:val="%1"/>
      <w:lvlJc w:val="left"/>
      <w:pPr>
        <w:ind w:left="113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622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7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7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26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77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128" w:hanging="428"/>
      </w:pPr>
      <w:rPr>
        <w:rFonts w:hint="default"/>
        <w:lang w:val="uk-UA" w:eastAsia="en-US" w:bidi="ar-SA"/>
      </w:rPr>
    </w:lvl>
  </w:abstractNum>
  <w:abstractNum w:abstractNumId="7">
    <w:nsid w:val="7AC23EF9"/>
    <w:multiLevelType w:val="multilevel"/>
    <w:tmpl w:val="DF624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11453"/>
    <w:rsid w:val="000F5410"/>
    <w:rsid w:val="00127106"/>
    <w:rsid w:val="001A6ADD"/>
    <w:rsid w:val="0028458E"/>
    <w:rsid w:val="00327025"/>
    <w:rsid w:val="003C58F7"/>
    <w:rsid w:val="00454EBA"/>
    <w:rsid w:val="00457F06"/>
    <w:rsid w:val="00485870"/>
    <w:rsid w:val="004A1789"/>
    <w:rsid w:val="004D4DB1"/>
    <w:rsid w:val="00511861"/>
    <w:rsid w:val="005E784F"/>
    <w:rsid w:val="006C0309"/>
    <w:rsid w:val="006F0B9A"/>
    <w:rsid w:val="006F49B3"/>
    <w:rsid w:val="00737CA5"/>
    <w:rsid w:val="00853B44"/>
    <w:rsid w:val="00863857"/>
    <w:rsid w:val="008966D4"/>
    <w:rsid w:val="008B0F17"/>
    <w:rsid w:val="009C12BA"/>
    <w:rsid w:val="009D15FA"/>
    <w:rsid w:val="009F648D"/>
    <w:rsid w:val="00BA0DE4"/>
    <w:rsid w:val="00BA1FC4"/>
    <w:rsid w:val="00C81F8B"/>
    <w:rsid w:val="00C91383"/>
    <w:rsid w:val="00D63EC8"/>
    <w:rsid w:val="00D70FBB"/>
    <w:rsid w:val="00E07AB4"/>
    <w:rsid w:val="00E11453"/>
    <w:rsid w:val="00E72136"/>
    <w:rsid w:val="00EE6BF5"/>
    <w:rsid w:val="00F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53"/>
  </w:style>
  <w:style w:type="paragraph" w:styleId="1">
    <w:name w:val="heading 1"/>
    <w:basedOn w:val="a"/>
    <w:next w:val="a"/>
    <w:uiPriority w:val="9"/>
    <w:qFormat/>
    <w:rsid w:val="00E114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114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114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114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114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114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1453"/>
  </w:style>
  <w:style w:type="table" w:customStyle="1" w:styleId="TableNormal">
    <w:name w:val="Table Normal"/>
    <w:rsid w:val="00E114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114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14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114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E114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E114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a"/>
    <w:uiPriority w:val="1"/>
    <w:qFormat/>
    <w:rsid w:val="001A6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fa">
    <w:name w:val="Body Text"/>
    <w:basedOn w:val="a"/>
    <w:link w:val="afb"/>
    <w:uiPriority w:val="1"/>
    <w:qFormat/>
    <w:rsid w:val="005E7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b">
    <w:name w:val="Основной текст Знак"/>
    <w:basedOn w:val="a0"/>
    <w:link w:val="afa"/>
    <w:uiPriority w:val="1"/>
    <w:rsid w:val="005E784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6F7194-6E13-4D66-ACF1-936C98C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Glavbuh</cp:lastModifiedBy>
  <cp:revision>31</cp:revision>
  <cp:lastPrinted>2023-11-17T07:11:00Z</cp:lastPrinted>
  <dcterms:created xsi:type="dcterms:W3CDTF">2023-05-22T13:34:00Z</dcterms:created>
  <dcterms:modified xsi:type="dcterms:W3CDTF">2023-11-17T07:12:00Z</dcterms:modified>
</cp:coreProperties>
</file>