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13" w:rsidRPr="00DB76DE" w:rsidRDefault="00872B13" w:rsidP="00872B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sz w:val="24"/>
          <w:szCs w:val="24"/>
          <w:lang w:val="uk-UA"/>
        </w:rPr>
        <w:t xml:space="preserve">ДОДАТОК 2 </w:t>
      </w:r>
    </w:p>
    <w:p w:rsidR="00872B13" w:rsidRPr="00DB76DE" w:rsidRDefault="00872B13" w:rsidP="00872B1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872B13" w:rsidRPr="00DB76DE" w:rsidRDefault="00872B13" w:rsidP="00872B13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72B13" w:rsidRPr="00DB76DE" w:rsidRDefault="00872B13" w:rsidP="00872B13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ТЕХНІЧНІ, ЯКІСНІ ТА ІНШІ ХАРАКТЕРИСТИКИ </w:t>
      </w:r>
    </w:p>
    <w:p w:rsidR="00872B13" w:rsidRPr="00DB76DE" w:rsidRDefault="00872B13" w:rsidP="00872B13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закупівлі:</w:t>
      </w:r>
    </w:p>
    <w:p w:rsidR="00872B13" w:rsidRPr="00DB76DE" w:rsidRDefault="00872B13" w:rsidP="00872B1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</w:t>
      </w:r>
      <w:r w:rsidRPr="00DB76DE">
        <w:rPr>
          <w:rFonts w:ascii="Times New Roman" w:hAnsi="Times New Roman"/>
          <w:b/>
          <w:sz w:val="24"/>
          <w:szCs w:val="24"/>
          <w:lang w:val="uk-UA"/>
        </w:rPr>
        <w:t>Реконструкція ремонтно-технічних майстерень по вул. Зеленій, 65 у м.</w:t>
      </w:r>
      <w:r w:rsidR="00D27B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76DE">
        <w:rPr>
          <w:rFonts w:ascii="Times New Roman" w:hAnsi="Times New Roman"/>
          <w:b/>
          <w:sz w:val="24"/>
          <w:szCs w:val="24"/>
          <w:lang w:val="uk-UA"/>
        </w:rPr>
        <w:t>Львові (інв.№10311684)»,</w:t>
      </w:r>
    </w:p>
    <w:p w:rsidR="00872B13" w:rsidRPr="00DB76DE" w:rsidRDefault="00872B13" w:rsidP="00872B1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(</w:t>
      </w:r>
      <w:r w:rsidRPr="00DB76DE">
        <w:rPr>
          <w:rFonts w:ascii="Times New Roman" w:hAnsi="Times New Roman"/>
          <w:b/>
          <w:bCs/>
          <w:sz w:val="24"/>
          <w:szCs w:val="24"/>
          <w:lang w:val="uk-UA"/>
        </w:rPr>
        <w:t>код ДК 021:2015: 4545</w:t>
      </w:r>
      <w:r w:rsidR="00502BFE">
        <w:rPr>
          <w:rFonts w:ascii="Times New Roman" w:hAnsi="Times New Roman"/>
          <w:b/>
          <w:bCs/>
          <w:sz w:val="24"/>
          <w:szCs w:val="24"/>
          <w:lang w:val="uk-UA"/>
        </w:rPr>
        <w:t>4000-4</w:t>
      </w:r>
      <w:r w:rsidRPr="00DB76D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«</w:t>
      </w:r>
      <w:r w:rsidR="00D27BC0">
        <w:rPr>
          <w:rFonts w:ascii="Times New Roman" w:hAnsi="Times New Roman"/>
          <w:b/>
          <w:bCs/>
          <w:i/>
          <w:sz w:val="24"/>
          <w:szCs w:val="24"/>
          <w:lang w:val="uk-UA"/>
        </w:rPr>
        <w:t>Реконструкція</w:t>
      </w:r>
      <w:r w:rsidRPr="00DB76DE">
        <w:rPr>
          <w:rFonts w:ascii="Times New Roman" w:hAnsi="Times New Roman"/>
          <w:b/>
          <w:bCs/>
          <w:i/>
          <w:sz w:val="24"/>
          <w:szCs w:val="24"/>
          <w:lang w:val="uk-UA"/>
        </w:rPr>
        <w:t>»)</w:t>
      </w:r>
    </w:p>
    <w:p w:rsidR="00872B13" w:rsidRPr="00DB76DE" w:rsidRDefault="00872B13" w:rsidP="00872B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  <w:lang w:val="uk-UA"/>
        </w:rPr>
      </w:pPr>
    </w:p>
    <w:p w:rsidR="00872B13" w:rsidRPr="00DB76DE" w:rsidRDefault="00872B13" w:rsidP="0087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sz w:val="24"/>
          <w:szCs w:val="24"/>
          <w:lang w:val="uk-UA"/>
        </w:rPr>
        <w:t>ВІДОМІСТЬ ОБСЯГІВ РОБІТ</w:t>
      </w:r>
    </w:p>
    <w:p w:rsidR="00872B13" w:rsidRPr="00DB76DE" w:rsidRDefault="00872B13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B13" w:rsidRPr="00DB76DE" w:rsidRDefault="00872B13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76DE">
        <w:rPr>
          <w:rFonts w:ascii="Times New Roman" w:hAnsi="Times New Roman"/>
          <w:b/>
          <w:sz w:val="24"/>
          <w:szCs w:val="24"/>
          <w:lang w:val="uk-UA"/>
        </w:rPr>
        <w:t>Клас наслідків – СС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5655"/>
        <w:gridCol w:w="1025"/>
        <w:gridCol w:w="1265"/>
        <w:gridCol w:w="1125"/>
      </w:tblGrid>
      <w:tr w:rsidR="00872B13" w:rsidRPr="00DB76DE" w:rsidTr="00447DCC">
        <w:tc>
          <w:tcPr>
            <w:tcW w:w="559" w:type="dxa"/>
            <w:vAlign w:val="center"/>
          </w:tcPr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55" w:type="dxa"/>
            <w:vAlign w:val="center"/>
          </w:tcPr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025" w:type="dxa"/>
            <w:vAlign w:val="center"/>
          </w:tcPr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65" w:type="dxa"/>
            <w:vAlign w:val="center"/>
          </w:tcPr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125" w:type="dxa"/>
            <w:vAlign w:val="center"/>
          </w:tcPr>
          <w:p w:rsidR="00872B13" w:rsidRPr="00DB76DE" w:rsidRDefault="00872B13" w:rsidP="00872B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47DCC" w:rsidRPr="00DB76DE" w:rsidTr="00447DCC">
        <w:tc>
          <w:tcPr>
            <w:tcW w:w="559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5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6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47DCC" w:rsidRPr="00DB76DE" w:rsidTr="00DB76DE">
        <w:tc>
          <w:tcPr>
            <w:tcW w:w="559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02-01-01 на Будівельні роботи</w:t>
            </w:r>
          </w:p>
        </w:tc>
        <w:tc>
          <w:tcPr>
            <w:tcW w:w="10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447DCC" w:rsidRPr="00DB76DE" w:rsidRDefault="00D23129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Розділ</w:t>
            </w:r>
            <w:r w:rsidR="00447DCC"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1. Земляні роботи</w:t>
            </w:r>
          </w:p>
        </w:tc>
        <w:tc>
          <w:tcPr>
            <w:tcW w:w="10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місткістю 0,4 [0,3-0,45]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2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45,49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з навантаженням на автомобілі-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місткістю 0,4 [0,35-0,45]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ґрунтів 2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54,31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86,896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зачистка дна i стiнок вручну з викидом</w:t>
            </w:r>
          </w:p>
          <w:p w:rsidR="00447DCC" w:rsidRPr="00DB76DE" w:rsidRDefault="00D23129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</w:t>
            </w:r>
            <w:r w:rsidR="00447DCC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:rsidR="00447DCC" w:rsidRPr="00DB76DE" w:rsidRDefault="00D23129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</w:t>
            </w:r>
            <w:r w:rsidR="00447DCC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екскаваторами "драглайн" або "зворотна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траншеях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землею</w:t>
            </w:r>
            <w:r w:rsidR="00D2312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ковшом місткістю 0,4 [0,3-0,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45] м3, група ґрунтів 1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45,49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DB76DE">
        <w:tc>
          <w:tcPr>
            <w:tcW w:w="559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65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02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47DCC" w:rsidRPr="00DB76DE" w:rsidTr="00447DCC">
        <w:trPr>
          <w:trHeight w:val="420"/>
        </w:trPr>
        <w:tc>
          <w:tcPr>
            <w:tcW w:w="559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447DCC" w:rsidRPr="00DB76DE" w:rsidRDefault="00D23129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Розділ</w:t>
            </w:r>
            <w:r w:rsidR="00447DCC"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2. Фундаменти</w:t>
            </w:r>
          </w:p>
        </w:tc>
        <w:tc>
          <w:tcPr>
            <w:tcW w:w="10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447DCC" w:rsidRPr="00DB76DE" w:rsidRDefault="00447DCC" w:rsidP="00447D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 клас бетону С8/10 (М-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150)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655" w:type="dxa"/>
          </w:tcPr>
          <w:p w:rsidR="005936FA" w:rsidRPr="00DB76DE" w:rsidRDefault="00D23129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</w:t>
            </w:r>
            <w:r w:rsidR="005936FA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="005936FA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С8/10 (М-150)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ширині по верху до 1000 мм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55" w:type="dxa"/>
          </w:tcPr>
          <w:p w:rsidR="005936FA" w:rsidRPr="00DB76DE" w:rsidRDefault="00D23129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уміші</w:t>
            </w:r>
            <w:r w:rsidR="005936FA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="005936FA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С20/25 [М-350].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34,2055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Стрижнева арматура А500,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654,79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21,22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Ф-1 4 шт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 клас бетону С8/10 (М-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150)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5936FA">
        <w:trPr>
          <w:trHeight w:val="310"/>
        </w:trPr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С8/10 (М-150)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0,4896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під колони об'ємом до 3 м3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С20/25 [М-350].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2,436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Стрижнева арматура А500,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90,3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понад 20 кг МН-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0,08499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фундаментів виробами з пінопласту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насухо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1,725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 пінополістирол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1,7595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3. Стіни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зовнішніх стін з газобетонних блоків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14,12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внутрішніх стін з газобетонних блоків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Газобетонний блок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42,09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Клейова суміш для блоків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1148,04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А500, дiаметр 10 мм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52,64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Роздiл 4. Опорядження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внутрішнє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цементно-вапняним або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 по каменю і бетону стін вручну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Роздiл 5.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Зовнішнє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оздоблення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цементно-вапняним або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 по каменю і бетону стін вручну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936FA" w:rsidRPr="00DB76DE" w:rsidTr="00DB76DE">
        <w:tc>
          <w:tcPr>
            <w:tcW w:w="559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65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Полівінілацетатне фарбування фасадів з риштувань по</w:t>
            </w:r>
          </w:p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підготовленій поверхні</w:t>
            </w:r>
          </w:p>
        </w:tc>
        <w:tc>
          <w:tcPr>
            <w:tcW w:w="102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</w:t>
            </w:r>
          </w:p>
        </w:tc>
        <w:tc>
          <w:tcPr>
            <w:tcW w:w="1125" w:type="dxa"/>
            <w:vAlign w:val="center"/>
          </w:tcPr>
          <w:p w:rsidR="005936FA" w:rsidRPr="00DB76DE" w:rsidRDefault="005936FA" w:rsidP="005936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6. Монолітна балка ЗБ-1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поясів в опалубці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С20/25 [М-350].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2,436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А500, дiаметр 14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А240, дiаметр 6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7. Металеві балки та покрівля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металевих балок перекриттях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5,43385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балок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тн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5,43385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колон одноповерхових і багатоповерхових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 і кранових естакад висотою до 25 м суцільного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масою до 1,0 т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стійок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тн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2 рази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8. Покриття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профільована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302,736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 покрівельний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2432,7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9. Ворота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воріт зі стальними коробками, з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розсувними або розпашними неутепленими полотнами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100х100х10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тн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2,3063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50х50х5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тн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0,0997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сталева 100х10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0,7947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А500, дiаметр 16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103,148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Ворота металеві, 3000х4000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169,32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2 рази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169,32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10. Підлога</w:t>
            </w:r>
          </w:p>
        </w:tc>
        <w:tc>
          <w:tcPr>
            <w:tcW w:w="10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ущільнених трамбівками підстилаючих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щебеневих шарів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35,04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ущільнених трамбівками підстилаючих</w:t>
            </w:r>
          </w:p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піщаних шарів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11,68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28,032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С20/25 [М-350].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28,59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прокладної в один шар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233,6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Армування підстилаючих шарів і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бетонок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1,5903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0663A" w:rsidRPr="00DB76DE" w:rsidTr="00DB76DE">
        <w:tc>
          <w:tcPr>
            <w:tcW w:w="559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65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А500, дiаметр 12 мм</w:t>
            </w:r>
          </w:p>
        </w:tc>
        <w:tc>
          <w:tcPr>
            <w:tcW w:w="102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1590,3</w:t>
            </w:r>
          </w:p>
        </w:tc>
        <w:tc>
          <w:tcPr>
            <w:tcW w:w="1125" w:type="dxa"/>
            <w:vAlign w:val="center"/>
          </w:tcPr>
          <w:p w:rsidR="0050663A" w:rsidRPr="00DB76DE" w:rsidRDefault="0050663A" w:rsidP="005066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 11. Відмостка</w:t>
            </w:r>
          </w:p>
        </w:tc>
        <w:tc>
          <w:tcPr>
            <w:tcW w:w="10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основи тротуарів із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товщини</w:t>
            </w:r>
          </w:p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тротуарів із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</w:t>
            </w:r>
          </w:p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товщини на кожен 1 см вилучати з норми 27-17-3 до 10</w:t>
            </w:r>
          </w:p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м2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-30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підстилаючих бетонних шарів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бетонні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готовi важкi, клас бетону С20/25 [М-350].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підстилаючих шарів і набетонок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0,0488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DB76DE">
        <w:tc>
          <w:tcPr>
            <w:tcW w:w="559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65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А500, дiаметр 8 мм</w:t>
            </w:r>
          </w:p>
        </w:tc>
        <w:tc>
          <w:tcPr>
            <w:tcW w:w="102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265" w:type="dxa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622AA" w:rsidRPr="00DB76DE" w:rsidTr="005622AA">
        <w:trPr>
          <w:trHeight w:val="629"/>
        </w:trPr>
        <w:tc>
          <w:tcPr>
            <w:tcW w:w="559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02-01-02 на електромонтажні</w:t>
            </w:r>
          </w:p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роботи</w:t>
            </w:r>
          </w:p>
        </w:tc>
        <w:tc>
          <w:tcPr>
            <w:tcW w:w="10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622AA" w:rsidRPr="00DB76DE" w:rsidRDefault="005622AA" w:rsidP="005622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на конструкції у готовій ніші або на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стіні, масою до 3 кг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Щиток електричний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3р(50А)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3р(25А)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1р(16А)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1р(10А)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3L+N+PE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вініпластових труб, по стінах і колонах із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діам. 25 мм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282,8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C05FB0">
        <w:trPr>
          <w:trHeight w:val="835"/>
        </w:trPr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ВВГнг-нд 3х1,5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285,6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електрична розгалужувальна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в цегляних стінах гнізд розміром до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130х130 мм (під вимикачі , розетки)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 одноклавішних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одноклавішний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 двоклавішних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двохклавішний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r w:rsidR="00D23129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роз’ємів</w:t>
            </w: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3-х фазних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655" w:type="dxa"/>
          </w:tcPr>
          <w:p w:rsidR="00C05FB0" w:rsidRPr="00DB76DE" w:rsidRDefault="00D23129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Роз’єм</w:t>
            </w:r>
            <w:r w:rsidR="00C05FB0"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3-х фазний 3L+N+PE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втопленого виконання з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заземленням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подвійна втопленого виконання з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заземленням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LED світильників . що установлюються на</w:t>
            </w:r>
          </w:p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штирях, кількість ламп до 2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LED , 3х36 ІР 64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стінових, зовнішніх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5FB0" w:rsidRPr="00DB76DE" w:rsidTr="00DB76DE">
        <w:tc>
          <w:tcPr>
            <w:tcW w:w="559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65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LED світильник зовнішній, настінний, круглий</w:t>
            </w:r>
          </w:p>
        </w:tc>
        <w:tc>
          <w:tcPr>
            <w:tcW w:w="102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265" w:type="dxa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76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25" w:type="dxa"/>
            <w:vAlign w:val="center"/>
          </w:tcPr>
          <w:p w:rsidR="00C05FB0" w:rsidRPr="00DB76DE" w:rsidRDefault="00C05FB0" w:rsidP="00C05F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B76D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2B13" w:rsidRPr="00DB76DE" w:rsidRDefault="00872B13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72EB1" w:rsidRDefault="00B72EB1" w:rsidP="00B72EB1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Для підтвердженні відповідності тендерної пропозиції технічним, якісним, кількісним та іншим вимогам замовника учасник у складі тендерної документації повинен надати:</w:t>
      </w:r>
    </w:p>
    <w:p w:rsidR="00B72EB1" w:rsidRPr="00B72EB1" w:rsidRDefault="00B72EB1" w:rsidP="00B72EB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72EB1">
        <w:rPr>
          <w:rFonts w:ascii="Times New Roman" w:hAnsi="Times New Roman"/>
          <w:sz w:val="24"/>
          <w:szCs w:val="24"/>
          <w:lang w:eastAsia="uk-UA"/>
        </w:rPr>
        <w:t>розрахунок договірної ціни, локальні кошториси (мають бути складені  відповідно до технічного завдання, з врахуванням технологічного процесу). Договірна ціна має бути розрахована в програмному комплексі АВК, або іншому програмному комплексі, який взаємодіє в частині передачі (зчитування) кошторисної документації та розрахунків для Замовника.</w:t>
      </w:r>
    </w:p>
    <w:p w:rsidR="00B72EB1" w:rsidRPr="00B72EB1" w:rsidRDefault="00B72EB1" w:rsidP="00B72EB1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72EB1">
        <w:rPr>
          <w:rFonts w:ascii="Times New Roman" w:hAnsi="Times New Roman"/>
          <w:sz w:val="24"/>
          <w:szCs w:val="24"/>
          <w:lang w:eastAsia="uk-UA"/>
        </w:rPr>
        <w:t xml:space="preserve">Ціна тендерної пропозиції повинна враховувати усі податки, збори, обов’язкові платежі, що сплачуються або мають бути сплачені стосовно предмету закупівлі. Розрахунок договірної ціни здійснюється відповідно до чинних кошторисних норм </w:t>
      </w:r>
      <w:r w:rsidRPr="00B72EB1">
        <w:rPr>
          <w:rFonts w:ascii="Times New Roman" w:hAnsi="Times New Roman"/>
          <w:sz w:val="24"/>
          <w:szCs w:val="24"/>
          <w:lang w:eastAsia="uk-UA"/>
        </w:rPr>
        <w:lastRenderedPageBreak/>
        <w:t>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 затверджені наказом Мінрегіону від 01.11.2021 № 281.</w:t>
      </w:r>
    </w:p>
    <w:p w:rsidR="00833F24" w:rsidRPr="00DB76DE" w:rsidRDefault="00833F24" w:rsidP="00833F2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76DE">
        <w:rPr>
          <w:rFonts w:ascii="Times New Roman" w:hAnsi="Times New Roman"/>
          <w:sz w:val="24"/>
          <w:szCs w:val="24"/>
          <w:lang w:val="uk-UA" w:eastAsia="uk-UA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833F24" w:rsidRPr="00DB76DE" w:rsidRDefault="00833F24" w:rsidP="00833F24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B76DE">
        <w:rPr>
          <w:rFonts w:ascii="Times New Roman" w:hAnsi="Times New Roman"/>
          <w:sz w:val="24"/>
          <w:szCs w:val="24"/>
          <w:lang w:val="uk-UA" w:eastAsia="uk-UA"/>
        </w:rPr>
        <w:t xml:space="preserve">Термін виконання робіт – з моменту укладання договору </w:t>
      </w:r>
      <w:r w:rsidR="006651A2" w:rsidRPr="006651A2">
        <w:rPr>
          <w:rFonts w:ascii="Times New Roman" w:hAnsi="Times New Roman"/>
          <w:sz w:val="24"/>
          <w:szCs w:val="24"/>
          <w:lang w:val="uk-UA" w:eastAsia="uk-UA"/>
        </w:rPr>
        <w:t xml:space="preserve">до </w:t>
      </w:r>
      <w:r w:rsidRPr="006651A2">
        <w:rPr>
          <w:rFonts w:ascii="Times New Roman" w:hAnsi="Times New Roman"/>
          <w:sz w:val="24"/>
          <w:szCs w:val="24"/>
          <w:lang w:val="uk-UA" w:eastAsia="uk-UA"/>
        </w:rPr>
        <w:t>1</w:t>
      </w:r>
      <w:r w:rsidR="006651A2" w:rsidRPr="006651A2"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6651A2">
        <w:rPr>
          <w:rFonts w:ascii="Times New Roman" w:hAnsi="Times New Roman"/>
          <w:sz w:val="24"/>
          <w:szCs w:val="24"/>
          <w:lang w:val="uk-UA" w:eastAsia="uk-UA"/>
        </w:rPr>
        <w:t xml:space="preserve"> грудня 202</w:t>
      </w:r>
      <w:r w:rsidR="003044FB">
        <w:rPr>
          <w:rFonts w:ascii="Times New Roman" w:hAnsi="Times New Roman"/>
          <w:sz w:val="24"/>
          <w:szCs w:val="24"/>
          <w:lang w:val="en-US" w:eastAsia="uk-UA"/>
        </w:rPr>
        <w:t>3</w:t>
      </w:r>
      <w:bookmarkStart w:id="0" w:name="_GoBack"/>
      <w:bookmarkEnd w:id="0"/>
      <w:r w:rsidRPr="006651A2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833F24" w:rsidRPr="00DB76DE" w:rsidRDefault="00833F24" w:rsidP="006651A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33F24" w:rsidRPr="00DB76DE" w:rsidRDefault="00833F24" w:rsidP="00833F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DB76DE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КОРОТКА ХАРАКТЕРИСТИКА ОБ’ЄКТА </w:t>
      </w:r>
    </w:p>
    <w:p w:rsidR="00833F24" w:rsidRPr="00DB76DE" w:rsidRDefault="00833F24" w:rsidP="008B21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833F24" w:rsidRPr="00DB76DE" w:rsidRDefault="00833F24" w:rsidP="008B21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DB76DE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>Існуючий стан:</w:t>
      </w:r>
    </w:p>
    <w:p w:rsidR="008B21DA" w:rsidRPr="00DB76DE" w:rsidRDefault="008B21DA" w:rsidP="008B21DA">
      <w:p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76DE">
        <w:rPr>
          <w:rFonts w:ascii="Times New Roman" w:hAnsi="Times New Roman"/>
          <w:sz w:val="24"/>
          <w:szCs w:val="24"/>
          <w:lang w:val="uk-UA"/>
        </w:rPr>
        <w:t>Ремонтна майстерня для автотранспорту розміщена на вулиці Зеленій.65 у місті Львові на території комплексної забудови вч №2144 в зоні історично складеної, частково сучасної забудови на вулиці Зеленій в центральній частині міста Львова. Територія військової частини розміщена між вулицями Зеленою та К.</w:t>
      </w:r>
      <w:r w:rsidR="00DB76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6DE">
        <w:rPr>
          <w:rFonts w:ascii="Times New Roman" w:hAnsi="Times New Roman"/>
          <w:sz w:val="24"/>
          <w:szCs w:val="24"/>
          <w:lang w:val="uk-UA"/>
        </w:rPr>
        <w:t>Левицького. З обох сторін до території військової частини №2144 примикають аналогічні території комплексної забудови нежитловими будинками. Із сторони вулиці К.</w:t>
      </w:r>
      <w:r w:rsidR="00DB76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6DE">
        <w:rPr>
          <w:rFonts w:ascii="Times New Roman" w:hAnsi="Times New Roman"/>
          <w:sz w:val="24"/>
          <w:szCs w:val="24"/>
          <w:lang w:val="uk-UA"/>
        </w:rPr>
        <w:t xml:space="preserve">Левицького в примиканні до території і будівель вч №2144 розташовані дві нежитлові 2-поверхові адміністративні будівлі. </w:t>
      </w:r>
    </w:p>
    <w:p w:rsidR="008B21DA" w:rsidRPr="00DB76DE" w:rsidRDefault="008B21DA" w:rsidP="008B21DA">
      <w:p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76DE">
        <w:rPr>
          <w:rFonts w:ascii="Times New Roman" w:hAnsi="Times New Roman"/>
          <w:sz w:val="24"/>
          <w:szCs w:val="24"/>
          <w:lang w:val="uk-UA"/>
        </w:rPr>
        <w:t xml:space="preserve"> Будівля ремонтної майстерні для автотранспорту розташована на території із сторони вулиці К.</w:t>
      </w:r>
      <w:r w:rsidR="00DB76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6DE">
        <w:rPr>
          <w:rFonts w:ascii="Times New Roman" w:hAnsi="Times New Roman"/>
          <w:sz w:val="24"/>
          <w:szCs w:val="24"/>
          <w:lang w:val="uk-UA"/>
        </w:rPr>
        <w:t xml:space="preserve">Левицького. Лівою частиною примикає до нежитлової будівлі на території комплексної забудови на вулиці Зеленій.63. Торцевою частиною будівля примикає до 2-поверхової адміністративної будівлі.  Права частина будівлі виходить на вільну від забудови територію. </w:t>
      </w:r>
    </w:p>
    <w:p w:rsidR="00833F24" w:rsidRPr="00DB76DE" w:rsidRDefault="00833F24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398A" w:rsidRPr="00DB76DE" w:rsidRDefault="00B1398A" w:rsidP="00B1398A">
      <w:pPr>
        <w:suppressAutoHyphens/>
        <w:spacing w:after="0" w:line="240" w:lineRule="auto"/>
        <w:ind w:firstLine="567"/>
        <w:jc w:val="both"/>
        <w:rPr>
          <w:rFonts w:ascii="Times New Roman" w:eastAsia="font268" w:hAnsi="Times New Roman"/>
          <w:spacing w:val="1"/>
          <w:sz w:val="24"/>
          <w:szCs w:val="24"/>
          <w:lang w:val="uk-UA" w:eastAsia="ar-SA"/>
        </w:rPr>
      </w:pPr>
      <w:r w:rsidRPr="00DB76DE">
        <w:rPr>
          <w:rFonts w:ascii="Times New Roman" w:eastAsia="font268" w:hAnsi="Times New Roman"/>
          <w:b/>
          <w:bCs/>
          <w:i/>
          <w:iCs/>
          <w:spacing w:val="1"/>
          <w:sz w:val="24"/>
          <w:szCs w:val="24"/>
          <w:lang w:val="uk-UA" w:eastAsia="ar-SA"/>
        </w:rPr>
        <w:t>Проектований стан:</w:t>
      </w:r>
    </w:p>
    <w:p w:rsidR="00B1398A" w:rsidRPr="00DB76DE" w:rsidRDefault="00B1398A" w:rsidP="00A66B33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DB76DE">
        <w:rPr>
          <w:rFonts w:ascii="Times New Roman" w:hAnsi="Times New Roman"/>
          <w:sz w:val="24"/>
          <w:szCs w:val="24"/>
          <w:lang w:val="uk-UA"/>
        </w:rPr>
        <w:t xml:space="preserve">Даним проектом </w:t>
      </w:r>
      <w:r w:rsidR="00833F24" w:rsidRPr="00DB76DE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833F24" w:rsidRPr="00DB76DE">
        <w:rPr>
          <w:rFonts w:ascii="Times New Roman" w:hAnsi="Times New Roman"/>
          <w:sz w:val="24"/>
          <w:szCs w:val="24"/>
          <w:lang w:val="uk-UA"/>
        </w:rPr>
        <w:t>Реконструкція ремонтно - технічних майстерень на вулиці Зеленій.65 у міст</w:t>
      </w:r>
      <w:r w:rsidRPr="00DB76DE">
        <w:rPr>
          <w:rFonts w:ascii="Times New Roman" w:hAnsi="Times New Roman"/>
          <w:sz w:val="24"/>
          <w:szCs w:val="24"/>
          <w:lang w:val="uk-UA"/>
        </w:rPr>
        <w:t xml:space="preserve">і Львові» передбачено  відновлення демонтованих гаражних боксів без зміни існуючих до демонтажу параметрів будівлі, </w:t>
      </w:r>
      <w:r w:rsidR="00A66B33" w:rsidRPr="00DB76DE">
        <w:rPr>
          <w:rFonts w:ascii="Times New Roman" w:hAnsi="Times New Roman"/>
          <w:sz w:val="24"/>
          <w:szCs w:val="24"/>
          <w:lang w:val="uk-UA"/>
        </w:rPr>
        <w:t>а саме: в</w:t>
      </w:r>
      <w:r w:rsidRPr="00DB76DE">
        <w:rPr>
          <w:rFonts w:ascii="Times New Roman" w:hAnsi="Times New Roman"/>
          <w:sz w:val="24"/>
          <w:szCs w:val="24"/>
          <w:lang w:val="uk-UA"/>
        </w:rPr>
        <w:t>лаштування нових конструкцій гаражних боксів взамін демонтованих</w:t>
      </w:r>
      <w:r w:rsidR="00A66B33" w:rsidRPr="00DB76DE">
        <w:rPr>
          <w:rFonts w:ascii="Times New Roman" w:hAnsi="Times New Roman"/>
          <w:sz w:val="24"/>
          <w:szCs w:val="24"/>
          <w:lang w:val="uk-UA"/>
        </w:rPr>
        <w:t>, п</w:t>
      </w:r>
      <w:r w:rsidRPr="00DB76DE">
        <w:rPr>
          <w:rFonts w:ascii="Times New Roman" w:hAnsi="Times New Roman"/>
          <w:sz w:val="24"/>
          <w:szCs w:val="24"/>
          <w:lang w:val="uk-UA"/>
        </w:rPr>
        <w:t>ідключення відновлених приміщень гаражних боксів до мереж електрозабезпечення</w:t>
      </w:r>
      <w:r w:rsidR="00A66B33" w:rsidRPr="00DB76DE">
        <w:rPr>
          <w:rFonts w:ascii="Times New Roman" w:hAnsi="Times New Roman"/>
          <w:sz w:val="24"/>
          <w:szCs w:val="24"/>
          <w:lang w:val="uk-UA"/>
        </w:rPr>
        <w:t>, в</w:t>
      </w:r>
      <w:r w:rsidRPr="00DB76DE">
        <w:rPr>
          <w:rFonts w:ascii="Times New Roman" w:hAnsi="Times New Roman"/>
          <w:sz w:val="24"/>
          <w:szCs w:val="24"/>
          <w:lang w:val="uk-UA"/>
        </w:rPr>
        <w:t>лаштування благоустрою в межах виконання робіт</w:t>
      </w:r>
    </w:p>
    <w:p w:rsidR="00833F24" w:rsidRPr="00DB76DE" w:rsidRDefault="00B1398A" w:rsidP="00A66B33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B76DE">
        <w:rPr>
          <w:rFonts w:ascii="Times New Roman" w:hAnsi="Times New Roman"/>
          <w:sz w:val="24"/>
          <w:szCs w:val="24"/>
          <w:lang w:val="uk-UA"/>
        </w:rPr>
        <w:t>Передбачається</w:t>
      </w:r>
      <w:r w:rsidR="00833F24" w:rsidRPr="00DB76DE">
        <w:rPr>
          <w:rFonts w:ascii="Times New Roman" w:hAnsi="Times New Roman"/>
          <w:sz w:val="24"/>
          <w:szCs w:val="24"/>
          <w:lang w:val="uk-UA"/>
        </w:rPr>
        <w:t xml:space="preserve"> відновити демонтовані бокси в обсязі основних нес</w:t>
      </w:r>
      <w:r w:rsidR="006651A2">
        <w:rPr>
          <w:rFonts w:ascii="Times New Roman" w:hAnsi="Times New Roman"/>
          <w:sz w:val="24"/>
          <w:szCs w:val="24"/>
          <w:lang w:val="uk-UA"/>
        </w:rPr>
        <w:t>учих та огороджуючих конструкцій</w:t>
      </w:r>
      <w:r w:rsidR="00833F24" w:rsidRPr="00DB76DE">
        <w:rPr>
          <w:rFonts w:ascii="Times New Roman" w:hAnsi="Times New Roman"/>
          <w:sz w:val="24"/>
          <w:szCs w:val="24"/>
          <w:lang w:val="uk-UA"/>
        </w:rPr>
        <w:t>.</w:t>
      </w:r>
      <w:r w:rsidR="00A66B33" w:rsidRPr="00DB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B33" w:rsidRPr="00DB76DE">
        <w:rPr>
          <w:rFonts w:ascii="Times New Roman" w:hAnsi="Times New Roman"/>
          <w:lang w:val="uk-UA"/>
        </w:rPr>
        <w:t>Також п</w:t>
      </w:r>
      <w:r w:rsidR="00833F24" w:rsidRPr="00DB76DE">
        <w:rPr>
          <w:rFonts w:ascii="Times New Roman" w:hAnsi="Times New Roman"/>
          <w:sz w:val="24"/>
          <w:szCs w:val="24"/>
          <w:lang w:val="uk-UA"/>
        </w:rPr>
        <w:t>ередбачається влаштувати новий металевий каркас будівлі гаражних боксів з влаштуванням покриття і з металу покрівельного профільованого, огороджуючих самонесучих стін із газобетонних блоків та встановленням розпашних воріт.</w:t>
      </w:r>
      <w:r w:rsidR="00A66B33" w:rsidRPr="00DB7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F24" w:rsidRPr="00DB76DE">
        <w:rPr>
          <w:rFonts w:ascii="Times New Roman" w:hAnsi="Times New Roman"/>
          <w:sz w:val="24"/>
          <w:szCs w:val="24"/>
          <w:lang w:val="uk-UA"/>
        </w:rPr>
        <w:t xml:space="preserve">Розмір будівлі гаражних боксів в осях – 24,90х9,96м, висота 5,30 – 4,31м. </w:t>
      </w:r>
    </w:p>
    <w:p w:rsidR="00833F24" w:rsidRPr="00DB76DE" w:rsidRDefault="00833F24" w:rsidP="00A66B33">
      <w:pPr>
        <w:pStyle w:val="22"/>
        <w:spacing w:after="0" w:line="240" w:lineRule="auto"/>
        <w:ind w:firstLine="284"/>
        <w:jc w:val="both"/>
      </w:pPr>
      <w:r w:rsidRPr="00DB76DE">
        <w:t>Площа загальна влаштованих приміщень становить 233,60м².</w:t>
      </w:r>
    </w:p>
    <w:p w:rsidR="00833F24" w:rsidRPr="00DB76DE" w:rsidRDefault="00833F24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3F24" w:rsidRPr="00DB76DE" w:rsidRDefault="00833F24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3F24" w:rsidRPr="00DB76DE" w:rsidRDefault="00833F24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3F24" w:rsidRPr="00DB76DE" w:rsidRDefault="00833F24" w:rsidP="00872B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33F24" w:rsidRPr="00DB7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68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08C"/>
    <w:multiLevelType w:val="hybridMultilevel"/>
    <w:tmpl w:val="DDA46618"/>
    <w:lvl w:ilvl="0" w:tplc="F678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56DE1"/>
    <w:multiLevelType w:val="hybridMultilevel"/>
    <w:tmpl w:val="C11834C6"/>
    <w:lvl w:ilvl="0" w:tplc="D820C6B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70967C08"/>
    <w:multiLevelType w:val="hybridMultilevel"/>
    <w:tmpl w:val="C4EAF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4F"/>
    <w:rsid w:val="001B774F"/>
    <w:rsid w:val="003044FB"/>
    <w:rsid w:val="00447DCC"/>
    <w:rsid w:val="00502BFE"/>
    <w:rsid w:val="0050663A"/>
    <w:rsid w:val="005622AA"/>
    <w:rsid w:val="005936FA"/>
    <w:rsid w:val="006651A2"/>
    <w:rsid w:val="00693640"/>
    <w:rsid w:val="006C2185"/>
    <w:rsid w:val="00833F24"/>
    <w:rsid w:val="00872B13"/>
    <w:rsid w:val="008B21DA"/>
    <w:rsid w:val="009B135C"/>
    <w:rsid w:val="00A66B33"/>
    <w:rsid w:val="00B1398A"/>
    <w:rsid w:val="00B72EB1"/>
    <w:rsid w:val="00C05FB0"/>
    <w:rsid w:val="00CF4A96"/>
    <w:rsid w:val="00D23129"/>
    <w:rsid w:val="00D27BC0"/>
    <w:rsid w:val="00DB76DE"/>
    <w:rsid w:val="00DC1988"/>
    <w:rsid w:val="00E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CB4E"/>
  <w15:chartTrackingRefBased/>
  <w15:docId w15:val="{33B397B3-456D-4073-9A59-E1B66E3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85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C2185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aliases w:val="Абзац списка11,Абзац списка111,List Paragraph2,Recommendatio,Párrafo de lista,OBC Bullet,List Paragraph Char Char Char,Indicator Text,Colorful List - Accent 11,List Paragraph,просто,List Paragraph1,Pбrrafo de lista"/>
    <w:basedOn w:val="a"/>
    <w:uiPriority w:val="99"/>
    <w:qFormat/>
    <w:rsid w:val="006C2185"/>
    <w:pPr>
      <w:ind w:left="720"/>
      <w:contextualSpacing/>
    </w:pPr>
    <w:rPr>
      <w:lang w:eastAsia="en-US"/>
    </w:rPr>
  </w:style>
  <w:style w:type="paragraph" w:customStyle="1" w:styleId="1">
    <w:name w:val="Без интервала1"/>
    <w:uiPriority w:val="1"/>
    <w:qFormat/>
    <w:rsid w:val="006C2185"/>
    <w:rPr>
      <w:rFonts w:eastAsia="Calibri"/>
      <w:sz w:val="22"/>
      <w:szCs w:val="22"/>
      <w:lang w:val="ru-RU"/>
    </w:rPr>
  </w:style>
  <w:style w:type="paragraph" w:customStyle="1" w:styleId="4">
    <w:name w:val="Абзац списку4"/>
    <w:basedOn w:val="a"/>
    <w:uiPriority w:val="99"/>
    <w:qFormat/>
    <w:rsid w:val="006C2185"/>
    <w:pPr>
      <w:ind w:left="720"/>
      <w:contextualSpacing/>
    </w:pPr>
    <w:rPr>
      <w:lang w:eastAsia="en-US"/>
    </w:rPr>
  </w:style>
  <w:style w:type="paragraph" w:customStyle="1" w:styleId="10">
    <w:name w:val="Абзац списку1"/>
    <w:basedOn w:val="a"/>
    <w:qFormat/>
    <w:rsid w:val="006C2185"/>
    <w:pPr>
      <w:ind w:left="720"/>
      <w:contextualSpacing/>
    </w:pPr>
    <w:rPr>
      <w:lang w:eastAsia="en-US"/>
    </w:rPr>
  </w:style>
  <w:style w:type="paragraph" w:customStyle="1" w:styleId="21">
    <w:name w:val="Абзац списку2"/>
    <w:basedOn w:val="a"/>
    <w:uiPriority w:val="99"/>
    <w:qFormat/>
    <w:rsid w:val="006C2185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"/>
    <w:qFormat/>
    <w:rsid w:val="006C2185"/>
    <w:pPr>
      <w:ind w:left="720"/>
      <w:contextualSpacing/>
    </w:pPr>
    <w:rPr>
      <w:lang w:eastAsia="en-US"/>
    </w:rPr>
  </w:style>
  <w:style w:type="paragraph" w:customStyle="1" w:styleId="3">
    <w:name w:val="Абзац списку3"/>
    <w:basedOn w:val="a"/>
    <w:uiPriority w:val="99"/>
    <w:qFormat/>
    <w:rsid w:val="006C2185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link w:val="2"/>
    <w:uiPriority w:val="99"/>
    <w:rsid w:val="006C2185"/>
    <w:rPr>
      <w:rFonts w:ascii="Cambria" w:hAnsi="Cambria"/>
      <w:b/>
      <w:i/>
      <w:sz w:val="28"/>
      <w:lang w:eastAsia="uk-UA"/>
    </w:rPr>
  </w:style>
  <w:style w:type="paragraph" w:styleId="a4">
    <w:name w:val="List Paragraph"/>
    <w:aliases w:val="Абзац списка3,Абзац списка2,List Paragrap"/>
    <w:basedOn w:val="a"/>
    <w:link w:val="a5"/>
    <w:uiPriority w:val="34"/>
    <w:qFormat/>
    <w:rsid w:val="006C2185"/>
    <w:pPr>
      <w:spacing w:after="160" w:line="259" w:lineRule="auto"/>
      <w:ind w:left="720"/>
      <w:contextualSpacing/>
    </w:pPr>
    <w:rPr>
      <w:rFonts w:eastAsia="Calibri"/>
      <w:lang w:val="uk-UA" w:eastAsia="en-US"/>
    </w:rPr>
  </w:style>
  <w:style w:type="character" w:customStyle="1" w:styleId="a5">
    <w:name w:val="Абзац списку Знак"/>
    <w:aliases w:val="Абзац списка3 Знак,Абзац списка2 Знак,List Paragrap Знак"/>
    <w:link w:val="a4"/>
    <w:uiPriority w:val="34"/>
    <w:qFormat/>
    <w:locked/>
    <w:rsid w:val="006C2185"/>
    <w:rPr>
      <w:rFonts w:eastAsia="Calibri"/>
      <w:sz w:val="22"/>
      <w:szCs w:val="22"/>
    </w:rPr>
  </w:style>
  <w:style w:type="table" w:styleId="a6">
    <w:name w:val="Table Grid"/>
    <w:basedOn w:val="a1"/>
    <w:uiPriority w:val="39"/>
    <w:rsid w:val="0087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nhideWhenUsed/>
    <w:rsid w:val="00833F24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31">
    <w:name w:val="Основний текст 3 Знак"/>
    <w:basedOn w:val="a0"/>
    <w:link w:val="30"/>
    <w:rsid w:val="00833F24"/>
    <w:rPr>
      <w:rFonts w:ascii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33F24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3">
    <w:name w:val="Основний текст з відступом 2 Знак"/>
    <w:basedOn w:val="a0"/>
    <w:link w:val="22"/>
    <w:uiPriority w:val="99"/>
    <w:rsid w:val="00833F2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6602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 Малітовський</dc:creator>
  <cp:keywords/>
  <dc:description/>
  <cp:lastModifiedBy>Лазар Олег Миколайович</cp:lastModifiedBy>
  <cp:revision>7</cp:revision>
  <dcterms:created xsi:type="dcterms:W3CDTF">2023-09-22T12:58:00Z</dcterms:created>
  <dcterms:modified xsi:type="dcterms:W3CDTF">2023-09-27T07:01:00Z</dcterms:modified>
</cp:coreProperties>
</file>