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F" w:rsidRPr="0005112D" w:rsidRDefault="00866ACF" w:rsidP="002451E6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11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116C41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0511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4417B" w:rsidRPr="008F25B9" w:rsidRDefault="00C4417B" w:rsidP="00C4417B">
      <w:pPr>
        <w:jc w:val="center"/>
        <w:rPr>
          <w:rFonts w:ascii="Times New Roman" w:eastAsia="Courier New" w:hAnsi="Times New Roman"/>
          <w:b/>
          <w:bCs/>
          <w:sz w:val="24"/>
          <w:szCs w:val="24"/>
        </w:rPr>
      </w:pPr>
      <w:r w:rsidRPr="008F25B9">
        <w:rPr>
          <w:rFonts w:ascii="Times New Roman" w:eastAsia="Courier New" w:hAnsi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</w:t>
      </w:r>
    </w:p>
    <w:p w:rsidR="00B561D9" w:rsidRPr="00B561D9" w:rsidRDefault="00B561D9" w:rsidP="00B561D9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B561D9">
        <w:rPr>
          <w:rFonts w:ascii="Times New Roman" w:hAnsi="Times New Roman" w:cs="Times New Roman"/>
          <w:snapToGrid w:val="0"/>
          <w:sz w:val="24"/>
          <w:szCs w:val="24"/>
          <w:lang w:val="uk-UA"/>
        </w:rPr>
        <w:t>код за ДК 021:2015 – 38430000-8 – Детектори та аналізатори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(</w:t>
      </w:r>
      <w:r w:rsidRPr="00B561D9">
        <w:rPr>
          <w:rFonts w:ascii="Times New Roman" w:hAnsi="Times New Roman" w:cs="Times New Roman"/>
          <w:snapToGrid w:val="0"/>
          <w:sz w:val="24"/>
          <w:szCs w:val="24"/>
          <w:lang w:val="uk-UA"/>
        </w:rPr>
        <w:t>НК 024:2019: 35774 – аналізатор сечі напіватоматизований)</w:t>
      </w:r>
    </w:p>
    <w:p w:rsidR="000708FC" w:rsidRPr="00B561D9" w:rsidRDefault="000708FC" w:rsidP="00070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08FC" w:rsidRPr="00EC60E3" w:rsidRDefault="000708FC" w:rsidP="000708F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За</w:t>
      </w:r>
      <w:r w:rsidRPr="00A64B8D">
        <w:rPr>
          <w:rFonts w:ascii="Times New Roman" w:hAnsi="Times New Roman" w:cs="Times New Roman"/>
          <w:snapToGrid w:val="0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альні положення</w:t>
      </w:r>
    </w:p>
    <w:p w:rsidR="000708FC" w:rsidRPr="00EC60E3" w:rsidRDefault="000708FC" w:rsidP="00070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C60E3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Завантаження, вивантаження та доставка товару, проведення монтажних і пусконалагоджувальних робіт на місці використання товару має здійснюватися за рахунок Учасника</w:t>
      </w:r>
      <w:r w:rsidRPr="00EC60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08FC" w:rsidRPr="00EC60E3" w:rsidRDefault="000708FC" w:rsidP="00070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Спроможність Учасника поставити запропонований товар повинна підтверджуватись оригінал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ом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гарантійн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лист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виробник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(якщо Учасник не є виробником товару) або офіційн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представник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виробник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на території України, що підтверджу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є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можливість постачання Учасником запропонованого Товару в необхідній кількості, необхідної якості та в потрібні терміни, які визначені цією тендерною документацією та тендерною пропозицією Учасника. Гарантійн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ий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лист повин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ен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включати назву предмета закупівлі, найменування замовника та номер оголошення про проведення процедури закупівлі. Учасник повинен надати (завантажити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 сканованому вигляді) оригінал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так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гарантійн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лист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та копі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ю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, що підтверджу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є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офіційний статус представник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виробник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якщо лист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надани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й офіційним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представник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ом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, а не виробник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ом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).</w:t>
      </w:r>
    </w:p>
    <w:p w:rsidR="000708FC" w:rsidRPr="00EC60E3" w:rsidRDefault="000708FC" w:rsidP="00070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Відповідність запропоновано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го товару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наведеним нижче медико-технічним вимогам повинна підтверджуватись інструкцією користувача або іншим технічним документом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від виробника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запропонован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оготовару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. Учасник повинен надати копі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ю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ц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ієї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інструкці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ї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користувача або інш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технічн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українською</w:t>
      </w:r>
      <w:r w:rsidRPr="001F528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мовою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та заповнен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таблиц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ю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відповідності медико-технічним вимогам з посиланнями на сторінки надан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технічн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ого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у, на яких міститься відповідна підтверджуюча інформація</w:t>
      </w:r>
      <w:r w:rsidRPr="00EC60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.</w:t>
      </w:r>
    </w:p>
    <w:p w:rsidR="000708FC" w:rsidRPr="006F541C" w:rsidRDefault="000708FC" w:rsidP="00070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Учасник повинен надати на запропонован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ий товар копію </w:t>
      </w: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деклараці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ї чи сертифікату </w:t>
      </w: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відповідності, що підтверджує можливість введення в обіг 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0708FC" w:rsidRPr="00EC60E3" w:rsidRDefault="000708FC" w:rsidP="00070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C60E3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Запропонований товар повинний бути новим та таким, що не був у використанні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; рік виготовлення не раніше 202</w:t>
      </w:r>
      <w:r w:rsidR="00116C41" w:rsidRPr="00116C4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EC60E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Термін гарантійного обслуговування </w:t>
      </w:r>
      <w:r w:rsidRPr="006E2114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запропонованого товару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– не менше </w:t>
      </w:r>
      <w:r w:rsidR="00B561D9">
        <w:rPr>
          <w:rFonts w:ascii="Times New Roman" w:hAnsi="Times New Roman" w:cs="Times New Roman"/>
          <w:snapToGrid w:val="0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місяців.</w:t>
      </w: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Учасник </w:t>
      </w:r>
      <w:r w:rsidRPr="001E32FE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повинен надати довідку довільної форми</w:t>
      </w: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0708FC" w:rsidRPr="001F5282" w:rsidRDefault="000708FC" w:rsidP="00070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Запропонований товар є таким, що не має негативного впливу на навколишнє середовище, тобто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</w:t>
      </w: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часник гарантує, що технічні, якісні характеристики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запропонованого товару</w:t>
      </w: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відповідають встановленим законодавством нормам. Учасник </w:t>
      </w:r>
      <w:r w:rsidRPr="001E32FE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повинен надати довідку довільної форми</w:t>
      </w:r>
      <w:r w:rsidRPr="0099166D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0708FC" w:rsidRPr="001F5282" w:rsidRDefault="000708FC" w:rsidP="000708F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708FC" w:rsidRPr="00491430" w:rsidRDefault="000708FC" w:rsidP="00070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9143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та якісні характеристики предмета закупівлі</w:t>
      </w:r>
    </w:p>
    <w:p w:rsidR="000708FC" w:rsidRDefault="000708FC" w:rsidP="000708FC">
      <w:pPr>
        <w:spacing w:after="0"/>
        <w:jc w:val="center"/>
        <w:rPr>
          <w:rFonts w:ascii="Times New Roman" w:hAnsi="Times New Roman" w:cs="Times New Roman"/>
          <w:b/>
          <w:i/>
          <w:color w:val="000000"/>
          <w:lang w:val="uk-UA"/>
        </w:rPr>
      </w:pPr>
      <w:r w:rsidRPr="00BA67BC">
        <w:rPr>
          <w:rFonts w:ascii="Times New Roman" w:hAnsi="Times New Roman" w:cs="Times New Roman"/>
          <w:b/>
          <w:i/>
          <w:color w:val="000000"/>
          <w:lang w:val="uk-UA"/>
        </w:rPr>
        <w:t>Всі посилання на марку товару чи виробника читати в редакції  «або еквівалент»</w:t>
      </w:r>
    </w:p>
    <w:tbl>
      <w:tblPr>
        <w:tblW w:w="11172" w:type="dxa"/>
        <w:tblInd w:w="-427" w:type="dxa"/>
        <w:tblLayout w:type="fixed"/>
        <w:tblCellMar>
          <w:left w:w="113" w:type="dxa"/>
        </w:tblCellMar>
        <w:tblLook w:val="04A0"/>
      </w:tblPr>
      <w:tblGrid>
        <w:gridCol w:w="568"/>
        <w:gridCol w:w="8194"/>
        <w:gridCol w:w="1843"/>
        <w:gridCol w:w="567"/>
      </w:tblGrid>
      <w:tr w:rsidR="00B561D9" w:rsidRPr="00B561D9" w:rsidTr="00B561D9">
        <w:trPr>
          <w:cantSplit/>
          <w:trHeight w:val="113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з/п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Медико - технічні характеристики</w:t>
            </w:r>
          </w:p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Аналізатор сечі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Відповідність (так/ні), посилання на сторінку інструкції (брошури, настанови)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Кількість, шт.</w:t>
            </w: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Пропускна здатність: 300 аналізів за годину (максимальна – 800 за годину)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Гарантійний період на аналізатор 24 місяці та сервісна підтримка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Довжина хвиль – 460, 550, 650 нм.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Розмір апарату: 275 * 250 * 175 мм.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Вага: не більше 1,3 кг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Три режими роботи:</w:t>
            </w:r>
          </w:p>
          <w:p w:rsidR="00B561D9" w:rsidRPr="00B561D9" w:rsidRDefault="00B561D9" w:rsidP="00B561D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862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режим General (загальний)</w:t>
            </w:r>
          </w:p>
          <w:p w:rsidR="00B561D9" w:rsidRPr="00B561D9" w:rsidRDefault="00B561D9" w:rsidP="00B561D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862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режим StepbyStep (одна за одною)</w:t>
            </w:r>
          </w:p>
          <w:p w:rsidR="00B561D9" w:rsidRPr="00B561D9" w:rsidRDefault="00B561D9" w:rsidP="00B561D9">
            <w:pPr>
              <w:pStyle w:val="12"/>
              <w:numPr>
                <w:ilvl w:val="0"/>
                <w:numId w:val="13"/>
              </w:numPr>
              <w:shd w:val="clear" w:color="auto" w:fill="FFFFFF"/>
              <w:ind w:left="862" w:right="19" w:hanging="360"/>
              <w:jc w:val="both"/>
              <w:rPr>
                <w:color w:val="00000A"/>
                <w:lang w:val="uk-UA" w:eastAsia="zh-CN" w:bidi="hi-IN"/>
              </w:rPr>
            </w:pPr>
            <w:r w:rsidRPr="00B561D9">
              <w:rPr>
                <w:color w:val="00000A"/>
                <w:lang w:val="uk-UA" w:eastAsia="zh-CN" w:bidi="hi-IN"/>
              </w:rPr>
              <w:t>режим Quick (швидкий режим)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Можливість тестування 10 смужок одночасно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lastRenderedPageBreak/>
              <w:t>7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Присутні опції, які враховують каламутність та колір сечі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Пам'ять апарату: до 20 000 аналізів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DD0DFB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Маркери, які може визначати аналізатор за допомогою тест смужок: уробіліноген, білірубін, питома вага, рН, кетони, нітрити, білок, глюкоза, кров (еритроцити/мкл), лейкоцити, аскорбінова кислота, мікроальбумін, креатинін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Метод визначення – відображувальна фотометрія (рефлектометрія)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Вбудований термопринтер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Можливість підключення до ПК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Можливість підключення зчитувача штрих кодів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14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Можливість підключення клавіатури та роботи від неї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15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Відповідність вимогам Технічного регламенту щодо медичних виробів для діагностики invitro, затвердженого Постановою КМУ від 02.10.2013 р. № 754 (надати в складі тендерної пропозиції)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DD0DFB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16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Відповідність вимогам Технічного регламенту обмеження використання деяких небезпечних речовин в електричному та електронному обладнанні, затвердженого постановою Кабінету Міністрів України від 10 березня 2017р. №139 (надати в складі тендерної пропозиції)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DD0DFB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17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Обладнання повинно мати відповідні сертифікати якості міжнародного зразку ISO (надати в складі тендерної пропозиції)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18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Висновок державної санітарно-епідеміологічної експертизи</w:t>
            </w:r>
          </w:p>
          <w:p w:rsidR="00B561D9" w:rsidRPr="00B561D9" w:rsidRDefault="00B561D9" w:rsidP="004A319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(надати в складі тендерної пропозиції)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19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Прилад повинен комплектуватися набором калібрувальних тест-смужок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49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20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Меню аналізатору повинно бути українською мовою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61D9" w:rsidRPr="00DD0DFB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</w:p>
          <w:p w:rsidR="00B561D9" w:rsidRPr="00DD0DFB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</w:p>
          <w:p w:rsidR="00B561D9" w:rsidRPr="00DD0DFB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</w:p>
          <w:p w:rsidR="00B561D9" w:rsidRPr="00DD0DFB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  <w:r w:rsidRPr="00DD0DF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zh-CN" w:bidi="hi-IN"/>
              </w:rPr>
              <w:t>200 шт</w:t>
            </w:r>
          </w:p>
          <w:p w:rsidR="00B561D9" w:rsidRPr="00DD0DFB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561D9" w:rsidRPr="00B561D9" w:rsidRDefault="00B561D9" w:rsidP="004A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21</w:t>
            </w: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561D9" w:rsidRPr="00B561D9" w:rsidRDefault="00B561D9" w:rsidP="004A319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Стартовий набір тест-смужок з наступними характеристиками: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B561D9" w:rsidRPr="00B561D9" w:rsidTr="00B561D9">
        <w:trPr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8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561D9" w:rsidRPr="00B561D9" w:rsidRDefault="00B561D9" w:rsidP="004A319B">
            <w:pPr>
              <w:tabs>
                <w:tab w:val="left" w:pos="104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Тест-смужки забезпечують швидке напівкількісне визначення 10 показників у сечі.  Тривалість проведення аналізу – 1-2 хв.</w:t>
            </w:r>
          </w:p>
          <w:p w:rsidR="00B561D9" w:rsidRPr="00B561D9" w:rsidRDefault="00B561D9" w:rsidP="004A319B">
            <w:pPr>
              <w:tabs>
                <w:tab w:val="left" w:pos="104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Порогові рівні речовин: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22"/>
              <w:gridCol w:w="3463"/>
            </w:tblGrid>
            <w:tr w:rsidR="00B561D9" w:rsidRPr="00B561D9" w:rsidTr="004A319B">
              <w:trPr>
                <w:trHeight w:val="426"/>
              </w:trPr>
              <w:tc>
                <w:tcPr>
                  <w:tcW w:w="15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561D9" w:rsidRPr="00B561D9" w:rsidRDefault="00B561D9" w:rsidP="004A319B">
                  <w:pPr>
                    <w:keepNext/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Речовина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561D9" w:rsidRPr="00B561D9" w:rsidRDefault="00B561D9" w:rsidP="004A319B">
                  <w:pPr>
                    <w:keepNext/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Пороговий рівень</w:t>
                  </w:r>
                </w:p>
              </w:tc>
            </w:tr>
            <w:tr w:rsidR="00B561D9" w:rsidRPr="00DD0DFB" w:rsidTr="004A319B">
              <w:trPr>
                <w:trHeight w:val="2127"/>
              </w:trPr>
              <w:tc>
                <w:tcPr>
                  <w:tcW w:w="15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Білок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Глюкоза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Кетони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Уробіліноген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Білірубін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Питома вага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Кров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рН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Лейкоцити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Нітрити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10-15 мг/дл.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50 мг/дл.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5 мг/дл.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1 од. Ерліха/дл.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0,5 мг/дл.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Від 1,000 до 1,030 з кроком 0,005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10 Ер/мкл.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Від 5 до 9 з точністю до 1 одиниці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20-25 Лей/мкл</w:t>
                  </w:r>
                </w:p>
                <w:p w:rsidR="00B561D9" w:rsidRPr="00B561D9" w:rsidRDefault="00B561D9" w:rsidP="004A319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</w:pPr>
                  <w:r w:rsidRPr="00B561D9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uk-UA" w:eastAsia="zh-CN" w:bidi="hi-IN"/>
                    </w:rPr>
                    <w:t>0,05 мг/дл нітрит іонів</w:t>
                  </w:r>
                </w:p>
              </w:tc>
            </w:tr>
          </w:tbl>
          <w:p w:rsidR="00B561D9" w:rsidRPr="00B561D9" w:rsidRDefault="00B561D9" w:rsidP="004A319B">
            <w:pPr>
              <w:tabs>
                <w:tab w:val="left" w:pos="104"/>
                <w:tab w:val="left" w:pos="24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  <w:p w:rsidR="00B561D9" w:rsidRPr="00B561D9" w:rsidRDefault="00B561D9" w:rsidP="004A319B">
            <w:pPr>
              <w:tabs>
                <w:tab w:val="left" w:pos="104"/>
                <w:tab w:val="left" w:pos="24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Тести зберігаються при кімнатній температурі від +2 до +30 С. Термін придатності тестів 24 місяці при зберіганні смужок в контейнері.</w:t>
            </w:r>
          </w:p>
          <w:p w:rsidR="00B561D9" w:rsidRPr="00B561D9" w:rsidRDefault="00B561D9" w:rsidP="004A319B">
            <w:pPr>
              <w:tabs>
                <w:tab w:val="left" w:pos="104"/>
                <w:tab w:val="left" w:pos="24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Після відкриття контейнеру смужки стабільні протягом 6 місяців.</w:t>
            </w:r>
          </w:p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В наявності є компенсаторна зона, яка слугує маркером придатності для роботи з аналізатором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1D9" w:rsidRPr="00B561D9" w:rsidRDefault="00B561D9" w:rsidP="004A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  <w:p w:rsidR="00B561D9" w:rsidRPr="00B561D9" w:rsidRDefault="00B561D9" w:rsidP="004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</w:tbl>
    <w:p w:rsidR="00B561D9" w:rsidRPr="00B561D9" w:rsidRDefault="00B561D9" w:rsidP="00B561D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</w:p>
    <w:p w:rsidR="008F3AE6" w:rsidRPr="000708FC" w:rsidRDefault="008F3AE6" w:rsidP="00C44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sectPr w:rsidR="008F3AE6" w:rsidRPr="000708FC" w:rsidSect="0005112D">
      <w:footerReference w:type="even" r:id="rId7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84" w:rsidRDefault="00437184" w:rsidP="00700A62">
      <w:pPr>
        <w:spacing w:after="0" w:line="240" w:lineRule="auto"/>
      </w:pPr>
      <w:r>
        <w:separator/>
      </w:r>
    </w:p>
  </w:endnote>
  <w:endnote w:type="continuationSeparator" w:id="1">
    <w:p w:rsidR="00437184" w:rsidRDefault="00437184" w:rsidP="007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AA" w:rsidRDefault="005D70BB" w:rsidP="005D1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05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05AA" w:rsidRDefault="001C05AA" w:rsidP="005D10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84" w:rsidRDefault="00437184" w:rsidP="00700A62">
      <w:pPr>
        <w:spacing w:after="0" w:line="240" w:lineRule="auto"/>
      </w:pPr>
      <w:r>
        <w:separator/>
      </w:r>
    </w:p>
  </w:footnote>
  <w:footnote w:type="continuationSeparator" w:id="1">
    <w:p w:rsidR="00437184" w:rsidRDefault="00437184" w:rsidP="0070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lang w:val="uk-UA"/>
      </w:rPr>
    </w:lvl>
  </w:abstractNum>
  <w:abstractNum w:abstractNumId="2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3">
    <w:nsid w:val="0A5927DB"/>
    <w:multiLevelType w:val="hybridMultilevel"/>
    <w:tmpl w:val="B5B2001E"/>
    <w:lvl w:ilvl="0" w:tplc="BD68CD16">
      <w:start w:val="1"/>
      <w:numFmt w:val="none"/>
      <w:lvlText w:val="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842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5">
    <w:nsid w:val="22182EE1"/>
    <w:multiLevelType w:val="hybridMultilevel"/>
    <w:tmpl w:val="3318793E"/>
    <w:lvl w:ilvl="0" w:tplc="36A826BA">
      <w:start w:val="265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5303A"/>
    <w:multiLevelType w:val="multilevel"/>
    <w:tmpl w:val="3144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026CC5"/>
    <w:multiLevelType w:val="hybridMultilevel"/>
    <w:tmpl w:val="2B8AC16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B65BF"/>
    <w:multiLevelType w:val="hybridMultilevel"/>
    <w:tmpl w:val="9E2C7124"/>
    <w:lvl w:ilvl="0" w:tplc="0F242C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22743C"/>
    <w:multiLevelType w:val="multilevel"/>
    <w:tmpl w:val="AFE8D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ACF"/>
    <w:rsid w:val="000120BC"/>
    <w:rsid w:val="00012CF9"/>
    <w:rsid w:val="00017EF5"/>
    <w:rsid w:val="00023ACA"/>
    <w:rsid w:val="000259DD"/>
    <w:rsid w:val="00031D61"/>
    <w:rsid w:val="000418C8"/>
    <w:rsid w:val="00045779"/>
    <w:rsid w:val="0005112D"/>
    <w:rsid w:val="0005256C"/>
    <w:rsid w:val="000544F8"/>
    <w:rsid w:val="00063C15"/>
    <w:rsid w:val="000708FC"/>
    <w:rsid w:val="00085C57"/>
    <w:rsid w:val="0009489A"/>
    <w:rsid w:val="000A0A0B"/>
    <w:rsid w:val="000A1A4D"/>
    <w:rsid w:val="000B48CE"/>
    <w:rsid w:val="000B4954"/>
    <w:rsid w:val="000B59CD"/>
    <w:rsid w:val="000D37D8"/>
    <w:rsid w:val="000D739A"/>
    <w:rsid w:val="001007C0"/>
    <w:rsid w:val="001111B5"/>
    <w:rsid w:val="0011430E"/>
    <w:rsid w:val="00116C41"/>
    <w:rsid w:val="00120045"/>
    <w:rsid w:val="00143CC2"/>
    <w:rsid w:val="001454FD"/>
    <w:rsid w:val="0015604F"/>
    <w:rsid w:val="0015663D"/>
    <w:rsid w:val="00171DCF"/>
    <w:rsid w:val="001737DF"/>
    <w:rsid w:val="0019701C"/>
    <w:rsid w:val="001A13B2"/>
    <w:rsid w:val="001A522F"/>
    <w:rsid w:val="001B4464"/>
    <w:rsid w:val="001B7D0A"/>
    <w:rsid w:val="001C05AA"/>
    <w:rsid w:val="001E3596"/>
    <w:rsid w:val="001E4E22"/>
    <w:rsid w:val="001E5F0C"/>
    <w:rsid w:val="00226A11"/>
    <w:rsid w:val="0022715E"/>
    <w:rsid w:val="002309E1"/>
    <w:rsid w:val="002451E6"/>
    <w:rsid w:val="00272324"/>
    <w:rsid w:val="002C6FA8"/>
    <w:rsid w:val="002D22AD"/>
    <w:rsid w:val="002E2855"/>
    <w:rsid w:val="00300141"/>
    <w:rsid w:val="003329F3"/>
    <w:rsid w:val="0034014D"/>
    <w:rsid w:val="003428D3"/>
    <w:rsid w:val="0034558D"/>
    <w:rsid w:val="003670CD"/>
    <w:rsid w:val="0039117E"/>
    <w:rsid w:val="003966DC"/>
    <w:rsid w:val="003E2FA7"/>
    <w:rsid w:val="003E6BFD"/>
    <w:rsid w:val="004015DF"/>
    <w:rsid w:val="00427033"/>
    <w:rsid w:val="00433CA1"/>
    <w:rsid w:val="00437184"/>
    <w:rsid w:val="00443F4F"/>
    <w:rsid w:val="00445EBD"/>
    <w:rsid w:val="0048534B"/>
    <w:rsid w:val="00497224"/>
    <w:rsid w:val="004A02FB"/>
    <w:rsid w:val="004A1B70"/>
    <w:rsid w:val="004C407E"/>
    <w:rsid w:val="004D55D1"/>
    <w:rsid w:val="004D7F56"/>
    <w:rsid w:val="004D7F83"/>
    <w:rsid w:val="004E267E"/>
    <w:rsid w:val="004E51D2"/>
    <w:rsid w:val="004F462C"/>
    <w:rsid w:val="00502986"/>
    <w:rsid w:val="005030E7"/>
    <w:rsid w:val="00541091"/>
    <w:rsid w:val="00580A09"/>
    <w:rsid w:val="00580C98"/>
    <w:rsid w:val="005A7A44"/>
    <w:rsid w:val="005B3142"/>
    <w:rsid w:val="005D10DA"/>
    <w:rsid w:val="005D5EE4"/>
    <w:rsid w:val="005D70BB"/>
    <w:rsid w:val="005F283D"/>
    <w:rsid w:val="0061644A"/>
    <w:rsid w:val="0063303E"/>
    <w:rsid w:val="00635B67"/>
    <w:rsid w:val="00655709"/>
    <w:rsid w:val="006617F5"/>
    <w:rsid w:val="0066547C"/>
    <w:rsid w:val="00673012"/>
    <w:rsid w:val="00682C5A"/>
    <w:rsid w:val="0068663D"/>
    <w:rsid w:val="00690766"/>
    <w:rsid w:val="006A79B6"/>
    <w:rsid w:val="006C6CCA"/>
    <w:rsid w:val="006D3E1B"/>
    <w:rsid w:val="006E7620"/>
    <w:rsid w:val="00700A62"/>
    <w:rsid w:val="007020A9"/>
    <w:rsid w:val="007148EC"/>
    <w:rsid w:val="007411B4"/>
    <w:rsid w:val="007605EE"/>
    <w:rsid w:val="0078680A"/>
    <w:rsid w:val="007B0142"/>
    <w:rsid w:val="007D285D"/>
    <w:rsid w:val="007E2971"/>
    <w:rsid w:val="007F0C7B"/>
    <w:rsid w:val="007F49D3"/>
    <w:rsid w:val="00817180"/>
    <w:rsid w:val="00831AEC"/>
    <w:rsid w:val="00841A55"/>
    <w:rsid w:val="00855104"/>
    <w:rsid w:val="00857419"/>
    <w:rsid w:val="00866ACF"/>
    <w:rsid w:val="00873AD6"/>
    <w:rsid w:val="00877251"/>
    <w:rsid w:val="008777D0"/>
    <w:rsid w:val="00880952"/>
    <w:rsid w:val="008A3B56"/>
    <w:rsid w:val="008A7DBB"/>
    <w:rsid w:val="008B45D3"/>
    <w:rsid w:val="008D3FFC"/>
    <w:rsid w:val="008E0B42"/>
    <w:rsid w:val="008E7FA8"/>
    <w:rsid w:val="008F3AE6"/>
    <w:rsid w:val="008F61AB"/>
    <w:rsid w:val="0090260B"/>
    <w:rsid w:val="009411D6"/>
    <w:rsid w:val="00961B18"/>
    <w:rsid w:val="0096392C"/>
    <w:rsid w:val="009C1672"/>
    <w:rsid w:val="009D5528"/>
    <w:rsid w:val="009E7341"/>
    <w:rsid w:val="009F023D"/>
    <w:rsid w:val="00A17FD4"/>
    <w:rsid w:val="00A22435"/>
    <w:rsid w:val="00A23BA0"/>
    <w:rsid w:val="00A272B8"/>
    <w:rsid w:val="00A54E1F"/>
    <w:rsid w:val="00A65A0B"/>
    <w:rsid w:val="00A73664"/>
    <w:rsid w:val="00A770AD"/>
    <w:rsid w:val="00A841EB"/>
    <w:rsid w:val="00A879DB"/>
    <w:rsid w:val="00AA3BF0"/>
    <w:rsid w:val="00AA6C01"/>
    <w:rsid w:val="00AC0B62"/>
    <w:rsid w:val="00AC1FEA"/>
    <w:rsid w:val="00AC2176"/>
    <w:rsid w:val="00AD6418"/>
    <w:rsid w:val="00AE5160"/>
    <w:rsid w:val="00AE71A6"/>
    <w:rsid w:val="00AF2342"/>
    <w:rsid w:val="00B12DF0"/>
    <w:rsid w:val="00B14241"/>
    <w:rsid w:val="00B221D8"/>
    <w:rsid w:val="00B40B62"/>
    <w:rsid w:val="00B43414"/>
    <w:rsid w:val="00B561D9"/>
    <w:rsid w:val="00B63F76"/>
    <w:rsid w:val="00B67A99"/>
    <w:rsid w:val="00B81891"/>
    <w:rsid w:val="00B91BFA"/>
    <w:rsid w:val="00BB6788"/>
    <w:rsid w:val="00BC259F"/>
    <w:rsid w:val="00BD5582"/>
    <w:rsid w:val="00BE070B"/>
    <w:rsid w:val="00BE328B"/>
    <w:rsid w:val="00BE6918"/>
    <w:rsid w:val="00C0366F"/>
    <w:rsid w:val="00C355CB"/>
    <w:rsid w:val="00C4417B"/>
    <w:rsid w:val="00C76241"/>
    <w:rsid w:val="00C76F00"/>
    <w:rsid w:val="00C96476"/>
    <w:rsid w:val="00CA008E"/>
    <w:rsid w:val="00CA0FB4"/>
    <w:rsid w:val="00CB4106"/>
    <w:rsid w:val="00D17006"/>
    <w:rsid w:val="00D223CF"/>
    <w:rsid w:val="00D26B55"/>
    <w:rsid w:val="00D50B32"/>
    <w:rsid w:val="00D51C7F"/>
    <w:rsid w:val="00D5381B"/>
    <w:rsid w:val="00D81839"/>
    <w:rsid w:val="00D90084"/>
    <w:rsid w:val="00D966E9"/>
    <w:rsid w:val="00DA4965"/>
    <w:rsid w:val="00DB33B6"/>
    <w:rsid w:val="00DD0DFB"/>
    <w:rsid w:val="00DE3903"/>
    <w:rsid w:val="00DE6062"/>
    <w:rsid w:val="00E549FD"/>
    <w:rsid w:val="00E7230E"/>
    <w:rsid w:val="00E823EB"/>
    <w:rsid w:val="00E868B4"/>
    <w:rsid w:val="00E92E6D"/>
    <w:rsid w:val="00EB10B8"/>
    <w:rsid w:val="00EB710A"/>
    <w:rsid w:val="00ED0E9C"/>
    <w:rsid w:val="00ED26DA"/>
    <w:rsid w:val="00F0261F"/>
    <w:rsid w:val="00F24819"/>
    <w:rsid w:val="00F41239"/>
    <w:rsid w:val="00F4174B"/>
    <w:rsid w:val="00F479AC"/>
    <w:rsid w:val="00F702B7"/>
    <w:rsid w:val="00F8033E"/>
    <w:rsid w:val="00FD3F45"/>
    <w:rsid w:val="00FE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6ACF"/>
  </w:style>
  <w:style w:type="paragraph" w:styleId="a4">
    <w:name w:val="footer"/>
    <w:basedOn w:val="a"/>
    <w:link w:val="a5"/>
    <w:rsid w:val="00866AC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866AC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8B45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Обычный1"/>
    <w:uiPriority w:val="99"/>
    <w:rsid w:val="008B45D3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table" w:styleId="a8">
    <w:name w:val="Table Grid"/>
    <w:basedOn w:val="a1"/>
    <w:uiPriority w:val="59"/>
    <w:rsid w:val="003E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3E2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E2FA7"/>
    <w:rPr>
      <w:rFonts w:ascii="Tahoma" w:eastAsia="Times New Roman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F479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Звичайний1"/>
    <w:uiPriority w:val="99"/>
    <w:rsid w:val="00635B67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customStyle="1" w:styleId="a7">
    <w:name w:val="Абзац списка Знак"/>
    <w:link w:val="a6"/>
    <w:uiPriority w:val="34"/>
    <w:locked/>
    <w:rsid w:val="008F3AE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B43414"/>
    <w:pPr>
      <w:spacing w:after="0" w:line="240" w:lineRule="auto"/>
      <w:ind w:firstLine="340"/>
      <w:jc w:val="both"/>
    </w:pPr>
    <w:rPr>
      <w:rFonts w:ascii="Consolas" w:eastAsia="Calibri" w:hAnsi="Consolas" w:cs="Times New Roman"/>
      <w:sz w:val="20"/>
      <w:szCs w:val="20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43414"/>
    <w:rPr>
      <w:rFonts w:ascii="Consolas" w:eastAsia="Calibri" w:hAnsi="Consolas" w:cs="Times New Roman"/>
      <w:sz w:val="20"/>
      <w:szCs w:val="20"/>
      <w:lang w:val="uk-UA" w:eastAsia="en-US"/>
    </w:rPr>
  </w:style>
  <w:style w:type="paragraph" w:styleId="ab">
    <w:name w:val="No Spacing"/>
    <w:link w:val="ac"/>
    <w:uiPriority w:val="1"/>
    <w:qFormat/>
    <w:rsid w:val="00B4341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B43414"/>
    <w:rPr>
      <w:rFonts w:ascii="Calibri" w:eastAsia="Calibri" w:hAnsi="Calibri" w:cs="Times New Roman"/>
      <w:lang w:val="uk-UA" w:eastAsia="en-US"/>
    </w:rPr>
  </w:style>
  <w:style w:type="paragraph" w:customStyle="1" w:styleId="11">
    <w:name w:val="Заголовок1"/>
    <w:basedOn w:val="a"/>
    <w:next w:val="ad"/>
    <w:uiPriority w:val="99"/>
    <w:rsid w:val="000708FC"/>
    <w:pPr>
      <w:suppressAutoHyphens/>
      <w:spacing w:after="0" w:line="240" w:lineRule="auto"/>
      <w:jc w:val="center"/>
    </w:pPr>
    <w:rPr>
      <w:rFonts w:ascii="AdverGothic" w:eastAsia="Times New Roman" w:hAnsi="AdverGothic" w:cs="AdverGothic"/>
      <w:b/>
      <w:sz w:val="28"/>
      <w:szCs w:val="20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708F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708FC"/>
  </w:style>
  <w:style w:type="paragraph" w:customStyle="1" w:styleId="12">
    <w:name w:val="Абзац списка1"/>
    <w:basedOn w:val="a"/>
    <w:rsid w:val="00B561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Пользователь Windows</cp:lastModifiedBy>
  <cp:revision>14</cp:revision>
  <cp:lastPrinted>2023-05-29T11:02:00Z</cp:lastPrinted>
  <dcterms:created xsi:type="dcterms:W3CDTF">2022-08-01T05:35:00Z</dcterms:created>
  <dcterms:modified xsi:type="dcterms:W3CDTF">2023-05-29T11:02:00Z</dcterms:modified>
</cp:coreProperties>
</file>