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07482B30"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4594B727" w14:textId="77777777"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w:t>
      </w:r>
    </w:p>
    <w:p w14:paraId="17992887" w14:textId="0E51CEC3" w:rsidR="007745F9"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DE54B9" w:rsidRPr="007745F9">
        <w:rPr>
          <w:sz w:val="24"/>
          <w:szCs w:val="24"/>
          <w:lang w:val="uk-UA"/>
        </w:rPr>
        <w:t xml:space="preserve"> </w:t>
      </w:r>
      <w:r w:rsidR="00DA6534" w:rsidRPr="00DA6534">
        <w:rPr>
          <w:b/>
          <w:sz w:val="24"/>
          <w:szCs w:val="24"/>
          <w:lang w:val="uk-UA"/>
        </w:rPr>
        <w:t xml:space="preserve">ДК 021:2015 – </w:t>
      </w:r>
      <w:r w:rsidR="00BF7542" w:rsidRPr="00BF7542">
        <w:rPr>
          <w:b/>
          <w:sz w:val="24"/>
          <w:szCs w:val="24"/>
        </w:rPr>
        <w:t>1462</w:t>
      </w:r>
      <w:r w:rsidR="00BF7542">
        <w:rPr>
          <w:b/>
          <w:sz w:val="24"/>
          <w:szCs w:val="24"/>
          <w:lang w:val="uk-UA"/>
        </w:rPr>
        <w:t>0000-</w:t>
      </w:r>
      <w:r w:rsidR="00BF7542" w:rsidRPr="00BF7542">
        <w:rPr>
          <w:b/>
          <w:sz w:val="24"/>
          <w:szCs w:val="24"/>
        </w:rPr>
        <w:t>3</w:t>
      </w:r>
      <w:r w:rsidR="00DA6534" w:rsidRPr="00DA6534">
        <w:rPr>
          <w:b/>
          <w:sz w:val="24"/>
          <w:szCs w:val="24"/>
          <w:lang w:val="uk-UA"/>
        </w:rPr>
        <w:t xml:space="preserve"> </w:t>
      </w:r>
      <w:r w:rsidR="00C916F0">
        <w:rPr>
          <w:b/>
          <w:sz w:val="24"/>
          <w:szCs w:val="24"/>
          <w:lang w:val="uk-UA"/>
        </w:rPr>
        <w:t>–</w:t>
      </w:r>
      <w:r w:rsidR="00DA6534" w:rsidRPr="00DA6534">
        <w:rPr>
          <w:b/>
          <w:sz w:val="24"/>
          <w:szCs w:val="24"/>
          <w:lang w:val="uk-UA"/>
        </w:rPr>
        <w:t xml:space="preserve"> </w:t>
      </w:r>
      <w:r w:rsidR="00BF7542">
        <w:rPr>
          <w:b/>
          <w:sz w:val="24"/>
          <w:szCs w:val="24"/>
          <w:lang w:val="uk-UA"/>
        </w:rPr>
        <w:t>Сплави</w:t>
      </w:r>
      <w:r w:rsidR="00DA6534" w:rsidRPr="00DA6534">
        <w:rPr>
          <w:b/>
          <w:sz w:val="24"/>
          <w:szCs w:val="24"/>
          <w:lang w:val="uk-UA"/>
        </w:rPr>
        <w:t xml:space="preserve"> (</w:t>
      </w:r>
      <w:r w:rsidR="00BF7542">
        <w:rPr>
          <w:b/>
          <w:sz w:val="24"/>
          <w:szCs w:val="24"/>
          <w:lang w:val="uk-UA"/>
        </w:rPr>
        <w:t>Прокат товстолистовий  6 мм ст.30 ХГСА</w:t>
      </w:r>
      <w:r w:rsidR="00DA6534" w:rsidRPr="00DA6534">
        <w:rPr>
          <w:b/>
          <w:sz w:val="24"/>
          <w:szCs w:val="24"/>
          <w:lang w:val="uk-UA"/>
        </w:rPr>
        <w:t>)</w:t>
      </w:r>
      <w:r w:rsidR="00A41001" w:rsidRPr="00A41001">
        <w:rPr>
          <w:b/>
          <w:sz w:val="24"/>
          <w:szCs w:val="24"/>
          <w:lang w:val="uk-UA"/>
        </w:rPr>
        <w:t>.</w:t>
      </w:r>
    </w:p>
    <w:p w14:paraId="223CC7F6" w14:textId="69B46FFF"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2AFE70B2"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BF7542">
        <w:rPr>
          <w:sz w:val="24"/>
          <w:szCs w:val="24"/>
          <w:lang w:val="uk-UA"/>
        </w:rPr>
        <w:t>10</w:t>
      </w:r>
      <w:r w:rsidRPr="007B1EB5">
        <w:rPr>
          <w:sz w:val="24"/>
          <w:szCs w:val="24"/>
          <w:lang w:val="uk-UA"/>
        </w:rPr>
        <w:t xml:space="preserve"> (</w:t>
      </w:r>
      <w:r w:rsidR="00BF7542">
        <w:rPr>
          <w:sz w:val="24"/>
          <w:szCs w:val="24"/>
          <w:lang w:val="uk-UA"/>
        </w:rPr>
        <w:t>десяти</w:t>
      </w:r>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Зубенка,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2362814D"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7E2F630D"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5</w:t>
      </w:r>
      <w:r w:rsidR="00DA5A7D" w:rsidRPr="00DA5A7D">
        <w:rPr>
          <w:sz w:val="24"/>
          <w:szCs w:val="24"/>
          <w:lang w:val="uk-UA"/>
        </w:rPr>
        <w:t xml:space="preserve"> (</w:t>
      </w:r>
      <w:r w:rsidR="004E1F48">
        <w:rPr>
          <w:sz w:val="24"/>
          <w:szCs w:val="24"/>
          <w:lang w:val="uk-UA"/>
        </w:rPr>
        <w:t>п’ятий</w:t>
      </w:r>
      <w:r w:rsidR="00DA5A7D" w:rsidRPr="00DA5A7D">
        <w:rPr>
          <w:sz w:val="24"/>
          <w:szCs w:val="24"/>
          <w:lang w:val="uk-UA"/>
        </w:rPr>
        <w:t xml:space="preserve">) робочий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7.1. Оплата за поставлений ТОВАР здійснюється у безготівковій формі, шляхом </w:t>
      </w:r>
      <w:r w:rsidRPr="007B1EB5">
        <w:rPr>
          <w:sz w:val="24"/>
          <w:szCs w:val="24"/>
          <w:lang w:val="uk-UA"/>
        </w:rPr>
        <w:lastRenderedPageBreak/>
        <w:t>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15CFE416"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5</w:t>
      </w:r>
      <w:r w:rsidR="004E1F48" w:rsidRPr="00DA5A7D">
        <w:rPr>
          <w:sz w:val="24"/>
          <w:szCs w:val="24"/>
          <w:lang w:val="uk-UA"/>
        </w:rPr>
        <w:t xml:space="preserve"> (</w:t>
      </w:r>
      <w:r w:rsidR="004E1F48">
        <w:rPr>
          <w:sz w:val="24"/>
          <w:szCs w:val="24"/>
          <w:lang w:val="uk-UA"/>
        </w:rPr>
        <w:t>п’ятий</w:t>
      </w:r>
      <w:r w:rsidR="004E1F48" w:rsidRPr="00DA5A7D">
        <w:rPr>
          <w:sz w:val="24"/>
          <w:szCs w:val="24"/>
          <w:lang w:val="uk-UA"/>
        </w:rPr>
        <w:t>) робочий день</w:t>
      </w:r>
      <w:r w:rsidRPr="007B1EB5">
        <w:rPr>
          <w:sz w:val="24"/>
          <w:szCs w:val="24"/>
          <w:lang w:val="uk-UA"/>
        </w:rPr>
        <w:t xml:space="preserve">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08DD62AE"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4E1F48">
        <w:rPr>
          <w:sz w:val="24"/>
          <w:szCs w:val="24"/>
          <w:lang w:val="uk-UA"/>
        </w:rPr>
        <w:t>5</w:t>
      </w:r>
      <w:r w:rsidR="004E1F48" w:rsidRPr="00DA5A7D">
        <w:rPr>
          <w:sz w:val="24"/>
          <w:szCs w:val="24"/>
          <w:lang w:val="uk-UA"/>
        </w:rPr>
        <w:t xml:space="preserve"> (</w:t>
      </w:r>
      <w:bookmarkStart w:id="10" w:name="_GoBack"/>
      <w:bookmarkEnd w:id="10"/>
      <w:r w:rsidR="004E1F48">
        <w:rPr>
          <w:sz w:val="24"/>
          <w:szCs w:val="24"/>
          <w:lang w:val="uk-UA"/>
        </w:rPr>
        <w:t>п’ятий</w:t>
      </w:r>
      <w:r w:rsidR="004E1F48" w:rsidRPr="00DA5A7D">
        <w:rPr>
          <w:sz w:val="24"/>
          <w:szCs w:val="24"/>
          <w:lang w:val="uk-UA"/>
        </w:rPr>
        <w:t>) 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6D7FBF01"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7745F9">
        <w:rPr>
          <w:rFonts w:ascii="Times New Roman" w:hAnsi="Times New Roman" w:cs="Times New Roman"/>
          <w:sz w:val="24"/>
          <w:szCs w:val="24"/>
          <w:lang w:val="uk-UA"/>
        </w:rPr>
        <w:t>__</w:t>
      </w:r>
      <w:r w:rsidR="00B416C7">
        <w:rPr>
          <w:rFonts w:ascii="Times New Roman" w:hAnsi="Times New Roman" w:cs="Times New Roman"/>
          <w:sz w:val="24"/>
          <w:szCs w:val="24"/>
          <w:lang w:val="uk-UA"/>
        </w:rPr>
        <w:t xml:space="preserve"> (</w:t>
      </w:r>
      <w:r w:rsidR="007745F9">
        <w:rPr>
          <w:rFonts w:ascii="Times New Roman" w:hAnsi="Times New Roman" w:cs="Times New Roman"/>
          <w:sz w:val="24"/>
          <w:szCs w:val="24"/>
          <w:lang w:val="uk-UA"/>
        </w:rPr>
        <w:t>____</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08C9413A" w14:textId="77777777" w:rsidR="008F5460" w:rsidRPr="007B1EB5" w:rsidRDefault="008F5460" w:rsidP="00E31209">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14:paraId="2BD81388" w14:textId="0E458016"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w:t>
      </w:r>
      <w:r w:rsidR="00787B97" w:rsidRPr="007B1EB5">
        <w:rPr>
          <w:sz w:val="24"/>
          <w:szCs w:val="24"/>
          <w:lang w:val="uk-UA" w:eastAsia="zh-CN"/>
        </w:rPr>
        <w:t>в</w:t>
      </w:r>
      <w:r w:rsidRPr="007B1EB5">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14:paraId="1B720A7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0109658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або</w:t>
      </w:r>
    </w:p>
    <w:p w14:paraId="6089D3F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w:t>
      </w:r>
    </w:p>
    <w:p w14:paraId="2296CE8F" w14:textId="1CB03CD7" w:rsidR="008F5460" w:rsidRPr="007B1EB5"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w:t>
      </w:r>
      <w:r w:rsidR="008F5460" w:rsidRPr="007B1EB5">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52644C94"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lastRenderedPageBreak/>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59334FA9"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15. АНТИКОРУПЦІЙНІ ТА САНКЦІЙНІ ЗАСТЕРЕЖЕННЯ</w:t>
      </w:r>
    </w:p>
    <w:p w14:paraId="2083F5AA"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01744A7C" w14:textId="4294410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655A34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50A516C4"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14:paraId="68672AA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58DD280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3754A38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513355C" w14:textId="68AACFA9"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0CF2DBCC"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BE6DEA0"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7B1EB5">
        <w:rPr>
          <w:bCs/>
          <w:color w:val="000000"/>
          <w:sz w:val="24"/>
          <w:szCs w:val="24"/>
          <w:lang w:val="uk-UA" w:eastAsia="zh-CN"/>
        </w:rPr>
        <w:t>вигод</w:t>
      </w:r>
      <w:proofErr w:type="spellEnd"/>
      <w:r w:rsidRPr="007B1EB5">
        <w:rPr>
          <w:bCs/>
          <w:color w:val="000000"/>
          <w:sz w:val="24"/>
          <w:szCs w:val="24"/>
          <w:lang w:val="uk-UA"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42F77ED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BC9A1F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14:paraId="71588DB3"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14:paraId="6D40F29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6FA7F168"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14:paraId="18E51F8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14:paraId="28F7B53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41F0E9A2" w14:textId="1715A99B"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523FCB1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АТ «Укрзалізниця» про порушення умов цього розділу Договору: електронна адреса compliance@uz.gov.ua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14:paraId="745EDFA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14:paraId="76B739F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w:t>
      </w:r>
      <w:r w:rsidRPr="007B1EB5">
        <w:rPr>
          <w:bCs/>
          <w:color w:val="000000"/>
          <w:sz w:val="24"/>
          <w:szCs w:val="24"/>
          <w:lang w:val="uk-UA" w:eastAsia="zh-CN"/>
        </w:rPr>
        <w:lastRenderedPageBreak/>
        <w:t>підписується та направляється іншій Стороні у формі та в порядку, визначеному цим розділом Договору для Повідомлення.</w:t>
      </w:r>
    </w:p>
    <w:p w14:paraId="6E37EEB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72CE5D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71EE10F7"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14:paraId="550DCBB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0D4C17CD" w14:textId="1C6F7BC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14:paraId="3B39C66D" w14:textId="7BED624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327E0AD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2873436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68EEC4E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2B059C81" w14:textId="77777777" w:rsidR="008F5460" w:rsidRPr="007B1EB5" w:rsidRDefault="008F5460" w:rsidP="00E31209">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4AFFF6AC" w14:textId="77777777" w:rsidR="00037CDF" w:rsidRPr="007B1EB5" w:rsidRDefault="00037CDF" w:rsidP="00E31209">
      <w:pPr>
        <w:tabs>
          <w:tab w:val="left" w:pos="1134"/>
          <w:tab w:val="left" w:pos="1276"/>
        </w:tabs>
        <w:spacing w:after="0" w:line="240" w:lineRule="auto"/>
        <w:ind w:firstLine="567"/>
        <w:jc w:val="center"/>
        <w:rPr>
          <w:rFonts w:eastAsia="Arial"/>
          <w:b/>
          <w:sz w:val="24"/>
          <w:szCs w:val="24"/>
          <w:lang w:val="uk-UA" w:eastAsia="ru-RU"/>
        </w:rPr>
      </w:pPr>
    </w:p>
    <w:p w14:paraId="09B4F934" w14:textId="77777777"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lastRenderedPageBreak/>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396DDD44" w14:textId="381477AA"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вул. Зубенка,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D58FE" w14:textId="77777777" w:rsidR="00BB3A8D" w:rsidRDefault="00BB3A8D">
      <w:pPr>
        <w:spacing w:after="0" w:line="240" w:lineRule="auto"/>
      </w:pPr>
      <w:r>
        <w:separator/>
      </w:r>
    </w:p>
  </w:endnote>
  <w:endnote w:type="continuationSeparator" w:id="0">
    <w:p w14:paraId="1830F452" w14:textId="77777777" w:rsidR="00BB3A8D" w:rsidRDefault="00BB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8EB53" w14:textId="77777777" w:rsidR="00BB3A8D" w:rsidRDefault="00BB3A8D">
      <w:pPr>
        <w:spacing w:after="0" w:line="240" w:lineRule="auto"/>
      </w:pPr>
      <w:r>
        <w:separator/>
      </w:r>
    </w:p>
  </w:footnote>
  <w:footnote w:type="continuationSeparator" w:id="0">
    <w:p w14:paraId="78BFBA8E" w14:textId="77777777" w:rsidR="00BB3A8D" w:rsidRDefault="00BB3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BF7542">
          <w:rPr>
            <w:noProof/>
          </w:rPr>
          <w:t>17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BF7542">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2EC1"/>
    <w:rsid w:val="00083391"/>
    <w:rsid w:val="000A3E43"/>
    <w:rsid w:val="000B18C1"/>
    <w:rsid w:val="000C4547"/>
    <w:rsid w:val="000E1180"/>
    <w:rsid w:val="000E3451"/>
    <w:rsid w:val="000F0913"/>
    <w:rsid w:val="000F2017"/>
    <w:rsid w:val="001144F8"/>
    <w:rsid w:val="001179D2"/>
    <w:rsid w:val="0012369D"/>
    <w:rsid w:val="00156F02"/>
    <w:rsid w:val="00160AEC"/>
    <w:rsid w:val="001639FE"/>
    <w:rsid w:val="00165BB3"/>
    <w:rsid w:val="00166C29"/>
    <w:rsid w:val="001A28F8"/>
    <w:rsid w:val="001B4469"/>
    <w:rsid w:val="001D496F"/>
    <w:rsid w:val="001D6B8B"/>
    <w:rsid w:val="002262CB"/>
    <w:rsid w:val="0023300F"/>
    <w:rsid w:val="00234F71"/>
    <w:rsid w:val="00235872"/>
    <w:rsid w:val="002369B0"/>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87718"/>
    <w:rsid w:val="004945B6"/>
    <w:rsid w:val="00494C11"/>
    <w:rsid w:val="004A2BB4"/>
    <w:rsid w:val="004B4803"/>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2088B"/>
    <w:rsid w:val="0072564D"/>
    <w:rsid w:val="00731FF6"/>
    <w:rsid w:val="007343FC"/>
    <w:rsid w:val="00736160"/>
    <w:rsid w:val="007422DA"/>
    <w:rsid w:val="00743002"/>
    <w:rsid w:val="00744D1B"/>
    <w:rsid w:val="007520EE"/>
    <w:rsid w:val="007530FD"/>
    <w:rsid w:val="00772C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3B2C"/>
    <w:rsid w:val="009A759F"/>
    <w:rsid w:val="009B018A"/>
    <w:rsid w:val="009C001D"/>
    <w:rsid w:val="009C5A94"/>
    <w:rsid w:val="009C6D87"/>
    <w:rsid w:val="009F2257"/>
    <w:rsid w:val="009F72A2"/>
    <w:rsid w:val="00A10327"/>
    <w:rsid w:val="00A14005"/>
    <w:rsid w:val="00A213B9"/>
    <w:rsid w:val="00A22D2E"/>
    <w:rsid w:val="00A35C29"/>
    <w:rsid w:val="00A41001"/>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85763"/>
    <w:rsid w:val="00B956D9"/>
    <w:rsid w:val="00BB3A8D"/>
    <w:rsid w:val="00BB6CF8"/>
    <w:rsid w:val="00BD1161"/>
    <w:rsid w:val="00BD3750"/>
    <w:rsid w:val="00BF4CB7"/>
    <w:rsid w:val="00BF703C"/>
    <w:rsid w:val="00BF7542"/>
    <w:rsid w:val="00BF7630"/>
    <w:rsid w:val="00C12C61"/>
    <w:rsid w:val="00C63A7A"/>
    <w:rsid w:val="00C65F22"/>
    <w:rsid w:val="00C72950"/>
    <w:rsid w:val="00C916F0"/>
    <w:rsid w:val="00C961DF"/>
    <w:rsid w:val="00CA0CD8"/>
    <w:rsid w:val="00CA2E9F"/>
    <w:rsid w:val="00CB0A69"/>
    <w:rsid w:val="00CB3092"/>
    <w:rsid w:val="00CB359A"/>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A6534"/>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1D"/>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9128</Words>
  <Characters>52032</Characters>
  <Application>Microsoft Office Word</Application>
  <DocSecurity>0</DocSecurity>
  <Lines>433</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21-</cp:lastModifiedBy>
  <cp:revision>21</cp:revision>
  <cp:lastPrinted>2023-01-30T10:12:00Z</cp:lastPrinted>
  <dcterms:created xsi:type="dcterms:W3CDTF">2023-02-02T06:17:00Z</dcterms:created>
  <dcterms:modified xsi:type="dcterms:W3CDTF">2023-08-03T08:01:00Z</dcterms:modified>
</cp:coreProperties>
</file>