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86E" w:rsidRDefault="006C086E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C086E" w:rsidRPr="00F82C70" w:rsidRDefault="002A2D7D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82C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 1</w:t>
      </w:r>
    </w:p>
    <w:p w:rsidR="006C086E" w:rsidRPr="00F82C70" w:rsidRDefault="002A2D7D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82C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до </w:t>
      </w:r>
      <w:proofErr w:type="spellStart"/>
      <w:r w:rsidRPr="00F82C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тендерної</w:t>
      </w:r>
      <w:proofErr w:type="spellEnd"/>
      <w:r w:rsidRPr="00F82C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F82C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документації</w:t>
      </w:r>
      <w:proofErr w:type="spellEnd"/>
    </w:p>
    <w:p w:rsidR="006C086E" w:rsidRPr="00F82C70" w:rsidRDefault="002A2D7D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C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</w:p>
    <w:p w:rsidR="006C086E" w:rsidRPr="008F2592" w:rsidRDefault="002A2D7D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Перелік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документів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інформації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  для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ідтвердження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УЧАСНИКА 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кваліфікаційним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критеріям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визначеним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статті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16 Закону “Про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публічні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”:</w:t>
      </w:r>
    </w:p>
    <w:p w:rsidR="008F2592" w:rsidRDefault="008F2592" w:rsidP="008F2592">
      <w:p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tbl>
      <w:tblPr>
        <w:tblW w:w="9919" w:type="dxa"/>
        <w:tblInd w:w="-17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09"/>
        <w:gridCol w:w="2977"/>
        <w:gridCol w:w="6233"/>
      </w:tblGrid>
      <w:tr w:rsidR="008F2592" w:rsidRPr="004E58EA" w:rsidTr="000B379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592" w:rsidRPr="004E58EA" w:rsidRDefault="008F2592" w:rsidP="000B379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8E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proofErr w:type="spellStart"/>
            <w:r w:rsidRPr="004E58EA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spellEnd"/>
            <w:r w:rsidRPr="004E58EA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proofErr w:type="gramStart"/>
            <w:r w:rsidRPr="004E58E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592" w:rsidRPr="004E58EA" w:rsidRDefault="008F2592" w:rsidP="000B379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E58EA">
              <w:rPr>
                <w:rFonts w:ascii="Times New Roman" w:hAnsi="Times New Roman" w:cs="Times New Roman"/>
                <w:b/>
                <w:sz w:val="20"/>
                <w:szCs w:val="20"/>
              </w:rPr>
              <w:t>Кваліфікаційні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E58EA">
              <w:rPr>
                <w:rFonts w:ascii="Times New Roman" w:hAnsi="Times New Roman" w:cs="Times New Roman"/>
                <w:b/>
                <w:sz w:val="20"/>
                <w:szCs w:val="20"/>
              </w:rPr>
              <w:t>критерії</w:t>
            </w:r>
            <w:proofErr w:type="spellEnd"/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592" w:rsidRPr="004E58EA" w:rsidRDefault="008F2592" w:rsidP="000B379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E58EA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Документи</w:t>
            </w:r>
            <w:proofErr w:type="spellEnd"/>
            <w:r w:rsidRPr="004E58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4E58EA">
              <w:rPr>
                <w:rFonts w:ascii="Times New Roman" w:hAnsi="Times New Roman" w:cs="Times New Roman"/>
                <w:b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E58EA">
              <w:rPr>
                <w:rFonts w:ascii="Times New Roman" w:hAnsi="Times New Roman" w:cs="Times New Roman"/>
                <w:b/>
                <w:sz w:val="20"/>
                <w:szCs w:val="20"/>
              </w:rPr>
              <w:t>мають</w:t>
            </w:r>
            <w:proofErr w:type="spellEnd"/>
            <w:r w:rsidRPr="004E58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бути </w:t>
            </w:r>
            <w:proofErr w:type="spellStart"/>
            <w:r w:rsidRPr="004E58EA">
              <w:rPr>
                <w:rFonts w:ascii="Times New Roman" w:hAnsi="Times New Roman" w:cs="Times New Roman"/>
                <w:b/>
                <w:sz w:val="20"/>
                <w:szCs w:val="20"/>
              </w:rPr>
              <w:t>надані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E58EA">
              <w:rPr>
                <w:rFonts w:ascii="Times New Roman" w:hAnsi="Times New Roman" w:cs="Times New Roman"/>
                <w:b/>
                <w:sz w:val="20"/>
                <w:szCs w:val="20"/>
              </w:rPr>
              <w:t>Учасником</w:t>
            </w:r>
            <w:proofErr w:type="spellEnd"/>
            <w:r w:rsidRPr="004E58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для </w:t>
            </w:r>
            <w:proofErr w:type="spellStart"/>
            <w:proofErr w:type="gramStart"/>
            <w:r w:rsidRPr="004E58E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4E58EA">
              <w:rPr>
                <w:rFonts w:ascii="Times New Roman" w:hAnsi="Times New Roman" w:cs="Times New Roman"/>
                <w:b/>
                <w:sz w:val="20"/>
                <w:szCs w:val="20"/>
              </w:rPr>
              <w:t>ідтвердження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E58EA">
              <w:rPr>
                <w:rFonts w:ascii="Times New Roman" w:hAnsi="Times New Roman" w:cs="Times New Roman"/>
                <w:b/>
                <w:sz w:val="20"/>
                <w:szCs w:val="20"/>
              </w:rPr>
              <w:t>кваліфікації</w:t>
            </w:r>
            <w:proofErr w:type="spellEnd"/>
          </w:p>
        </w:tc>
      </w:tr>
      <w:tr w:rsidR="00062EDC" w:rsidRPr="00062EDC" w:rsidTr="000B379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DC" w:rsidRPr="00062EDC" w:rsidRDefault="00C931DC" w:rsidP="000B379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="00062E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DC" w:rsidRPr="00062EDC" w:rsidRDefault="00062EDC" w:rsidP="00AC2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62E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Наявність</w:t>
            </w:r>
            <w:proofErr w:type="spellEnd"/>
            <w:r w:rsidRPr="00062E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2E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обладнання</w:t>
            </w:r>
            <w:proofErr w:type="spellEnd"/>
            <w:r w:rsidRPr="00062E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62E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матеріально-технічної</w:t>
            </w:r>
            <w:proofErr w:type="spellEnd"/>
            <w:r w:rsidRPr="00062E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2E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бази</w:t>
            </w:r>
            <w:proofErr w:type="spellEnd"/>
            <w:r w:rsidRPr="00062E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062E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технологій</w:t>
            </w:r>
            <w:proofErr w:type="spellEnd"/>
            <w:r w:rsidRPr="00062E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  <w:p w:rsidR="00062EDC" w:rsidRPr="00062EDC" w:rsidRDefault="00062EDC" w:rsidP="00AC2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DC" w:rsidRPr="004E58EA" w:rsidRDefault="00062EDC" w:rsidP="00062ED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8EA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proofErr w:type="spellStart"/>
            <w:proofErr w:type="gramStart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>ідтвердження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>має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>надати</w:t>
            </w:r>
            <w:proofErr w:type="spellEnd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62EDC" w:rsidRPr="00062EDC" w:rsidRDefault="00062EDC" w:rsidP="00062ED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-д</w:t>
            </w:r>
            <w:proofErr w:type="spellStart"/>
            <w:r w:rsidRPr="00062E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овідк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у</w:t>
            </w:r>
            <w:r w:rsidRPr="00062E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062E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довільній</w:t>
            </w:r>
            <w:proofErr w:type="spellEnd"/>
            <w:r w:rsidRPr="00062E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2E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формі</w:t>
            </w:r>
            <w:proofErr w:type="spellEnd"/>
            <w:r w:rsidRPr="00062E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r w:rsidRPr="00062E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наявність</w:t>
            </w:r>
            <w:proofErr w:type="spellEnd"/>
            <w:r w:rsidRPr="00062E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2E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обладнання</w:t>
            </w:r>
            <w:proofErr w:type="spellEnd"/>
            <w:r w:rsidRPr="00062E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62E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матеріально-технічної</w:t>
            </w:r>
            <w:proofErr w:type="spellEnd"/>
            <w:r w:rsidRPr="00062E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2E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бази</w:t>
            </w:r>
            <w:proofErr w:type="spellEnd"/>
            <w:r w:rsidRPr="00062E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062E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технологій</w:t>
            </w:r>
            <w:proofErr w:type="spellEnd"/>
            <w:r w:rsidRPr="00062E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62E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необхідних</w:t>
            </w:r>
            <w:proofErr w:type="spellEnd"/>
            <w:r w:rsidRPr="00062E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поставки товару, </w:t>
            </w:r>
            <w:proofErr w:type="spellStart"/>
            <w:r w:rsidRPr="00062E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визначених</w:t>
            </w:r>
            <w:proofErr w:type="spellEnd"/>
            <w:r w:rsidRPr="00062E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062E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технічних</w:t>
            </w:r>
            <w:proofErr w:type="spellEnd"/>
            <w:r w:rsidRPr="00062E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2E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вимогах</w:t>
            </w:r>
            <w:proofErr w:type="spellEnd"/>
            <w:r w:rsidRPr="00062E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</w:t>
            </w:r>
          </w:p>
        </w:tc>
      </w:tr>
    </w:tbl>
    <w:p w:rsidR="00062EDC" w:rsidRPr="00824882" w:rsidRDefault="00062EDC" w:rsidP="00062EDC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824882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  <w:t>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CB493E" w:rsidRPr="008F2592" w:rsidRDefault="00CB493E" w:rsidP="008F25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:rsidR="006A22D2" w:rsidRDefault="006A22D2" w:rsidP="006A22D2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6A22D2">
        <w:rPr>
          <w:rFonts w:ascii="Times New Roman" w:hAnsi="Times New Roman" w:cs="Times New Roman"/>
          <w:b/>
          <w:sz w:val="20"/>
          <w:szCs w:val="20"/>
          <w:lang w:val="uk-UA"/>
        </w:rPr>
        <w:t xml:space="preserve">Підстави для відмови  в участі в процедурі закупівлі  (пункт 47 Особливостей). </w:t>
      </w:r>
    </w:p>
    <w:p w:rsidR="004239E4" w:rsidRPr="00E506E5" w:rsidRDefault="004239E4" w:rsidP="004239E4">
      <w:pPr>
        <w:pStyle w:val="af7"/>
        <w:widowControl w:val="0"/>
        <w:ind w:left="360" w:firstLine="360"/>
        <w:jc w:val="both"/>
        <w:rPr>
          <w:rFonts w:ascii="Times New Roman" w:hAnsi="Times New Roman"/>
          <w:sz w:val="20"/>
        </w:rPr>
      </w:pPr>
      <w:r w:rsidRPr="00E506E5">
        <w:rPr>
          <w:rFonts w:ascii="Times New Roman" w:hAnsi="Times New Roman"/>
          <w:sz w:val="20"/>
        </w:rPr>
        <w:t>Переможець процедури закупівлі у строк, що не перевищує чотири дні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підпунктах 3, 5, 6 і 12 та в абзаці чотирнадцятому пункту 47 Особливостей. Замовник не вимагає документального підтвердження публічної інформації, що оприлюднена у формі відкритих даних згідно із Законом України «Про доступ до публічної інформації» та/або міститься у відкритих публічних електронних реєстрах, доступ до яких є вільним, або публічної інформації, що є доступною в електронній системі закупівель, крім випадків, коли доступ до такої інформації є обмеженим на момент оприлюднення оголошення про проведення відкритих торгів.</w:t>
      </w:r>
    </w:p>
    <w:p w:rsidR="004239E4" w:rsidRPr="00E506E5" w:rsidRDefault="004239E4" w:rsidP="004239E4">
      <w:pPr>
        <w:pStyle w:val="af7"/>
        <w:widowControl w:val="0"/>
        <w:jc w:val="both"/>
        <w:rPr>
          <w:rFonts w:ascii="Times New Roman" w:hAnsi="Times New Roman"/>
          <w:sz w:val="20"/>
          <w:shd w:val="clear" w:color="auto" w:fill="FFFFFF"/>
        </w:rPr>
      </w:pPr>
      <w:r w:rsidRPr="00E506E5">
        <w:rPr>
          <w:rFonts w:ascii="Times New Roman" w:hAnsi="Times New Roman"/>
          <w:sz w:val="20"/>
        </w:rPr>
        <w:t>Учасник проц</w:t>
      </w:r>
      <w:r w:rsidRPr="00E506E5">
        <w:rPr>
          <w:rFonts w:ascii="Times New Roman" w:hAnsi="Times New Roman"/>
          <w:sz w:val="20"/>
          <w:shd w:val="clear" w:color="auto" w:fill="FFFFFF"/>
        </w:rPr>
        <w:t>едури закупівлі підтверджує відсутність підстав, зазначених в пункті 47 Особливостей (крім підпунктів 1, 7, абзацу чотирнадцятого цього пункту),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:rsidR="004239E4" w:rsidRPr="00E506E5" w:rsidRDefault="004239E4" w:rsidP="004239E4">
      <w:pPr>
        <w:pStyle w:val="af7"/>
        <w:widowControl w:val="0"/>
        <w:jc w:val="both"/>
        <w:rPr>
          <w:rFonts w:ascii="Times New Roman" w:hAnsi="Times New Roman"/>
          <w:sz w:val="20"/>
          <w:shd w:val="clear" w:color="auto" w:fill="FFFFFF"/>
        </w:rPr>
      </w:pPr>
      <w:r w:rsidRPr="00E506E5">
        <w:rPr>
          <w:rFonts w:ascii="Times New Roman" w:hAnsi="Times New Roman"/>
          <w:sz w:val="20"/>
          <w:shd w:val="clear" w:color="auto" w:fill="FFFFFF"/>
        </w:rPr>
        <w:t>Замовник не вимагає від учасника процедури закупівлі під час подання тендерної пропозиції в електронній системі закупівель будь-яких документів, що підтверджують відсутність підстав, визначених у цьому пункті (крім підпунктів 1, 7, абзацу чотирнадцятого пункту 47 Особливостей), крім самостійного декларування відсутності таких підстав учасником процедури закупівлі відповідно до абзацу шістнадцятого цього пункту.</w:t>
      </w:r>
    </w:p>
    <w:p w:rsidR="004239E4" w:rsidRPr="00E506E5" w:rsidRDefault="004239E4" w:rsidP="004239E4">
      <w:pPr>
        <w:pStyle w:val="af8"/>
        <w:widowControl w:val="0"/>
        <w:spacing w:line="240" w:lineRule="auto"/>
        <w:ind w:firstLine="36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proofErr w:type="spellStart"/>
      <w:r w:rsidRPr="00E506E5">
        <w:rPr>
          <w:rFonts w:ascii="Times New Roman" w:hAnsi="Times New Roman" w:cs="Times New Roman"/>
          <w:sz w:val="20"/>
          <w:szCs w:val="20"/>
          <w:shd w:val="clear" w:color="auto" w:fill="FFFFFF"/>
        </w:rPr>
        <w:t>Замовник</w:t>
      </w:r>
      <w:proofErr w:type="spellEnd"/>
      <w:r w:rsidRPr="00E506E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E506E5">
        <w:rPr>
          <w:rFonts w:ascii="Times New Roman" w:hAnsi="Times New Roman" w:cs="Times New Roman"/>
          <w:sz w:val="20"/>
          <w:szCs w:val="20"/>
          <w:shd w:val="clear" w:color="auto" w:fill="FFFFFF"/>
        </w:rPr>
        <w:t>самостійно</w:t>
      </w:r>
      <w:proofErr w:type="spellEnd"/>
      <w:r w:rsidRPr="00E506E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за результатами </w:t>
      </w:r>
      <w:proofErr w:type="spellStart"/>
      <w:r w:rsidRPr="00E506E5">
        <w:rPr>
          <w:rFonts w:ascii="Times New Roman" w:hAnsi="Times New Roman" w:cs="Times New Roman"/>
          <w:sz w:val="20"/>
          <w:szCs w:val="20"/>
          <w:shd w:val="clear" w:color="auto" w:fill="FFFFFF"/>
        </w:rPr>
        <w:t>розгляду</w:t>
      </w:r>
      <w:proofErr w:type="spellEnd"/>
      <w:r w:rsidRPr="00E506E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E506E5">
        <w:rPr>
          <w:rFonts w:ascii="Times New Roman" w:hAnsi="Times New Roman" w:cs="Times New Roman"/>
          <w:sz w:val="20"/>
          <w:szCs w:val="20"/>
          <w:shd w:val="clear" w:color="auto" w:fill="FFFFFF"/>
        </w:rPr>
        <w:t>тендерної</w:t>
      </w:r>
      <w:proofErr w:type="spellEnd"/>
      <w:r w:rsidRPr="00E506E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E506E5">
        <w:rPr>
          <w:rFonts w:ascii="Times New Roman" w:hAnsi="Times New Roman" w:cs="Times New Roman"/>
          <w:sz w:val="20"/>
          <w:szCs w:val="20"/>
          <w:shd w:val="clear" w:color="auto" w:fill="FFFFFF"/>
        </w:rPr>
        <w:t>пропозиції</w:t>
      </w:r>
      <w:proofErr w:type="spellEnd"/>
      <w:r w:rsidRPr="00E506E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E506E5">
        <w:rPr>
          <w:rFonts w:ascii="Times New Roman" w:hAnsi="Times New Roman" w:cs="Times New Roman"/>
          <w:sz w:val="20"/>
          <w:szCs w:val="20"/>
          <w:shd w:val="clear" w:color="auto" w:fill="FFFFFF"/>
        </w:rPr>
        <w:t>учасника</w:t>
      </w:r>
      <w:proofErr w:type="spellEnd"/>
      <w:r w:rsidRPr="00E506E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E506E5">
        <w:rPr>
          <w:rFonts w:ascii="Times New Roman" w:hAnsi="Times New Roman" w:cs="Times New Roman"/>
          <w:sz w:val="20"/>
          <w:szCs w:val="20"/>
          <w:shd w:val="clear" w:color="auto" w:fill="FFFFFF"/>
        </w:rPr>
        <w:t>процедури</w:t>
      </w:r>
      <w:proofErr w:type="spellEnd"/>
      <w:r w:rsidRPr="00E506E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E506E5">
        <w:rPr>
          <w:rFonts w:ascii="Times New Roman" w:hAnsi="Times New Roman" w:cs="Times New Roman"/>
          <w:sz w:val="20"/>
          <w:szCs w:val="20"/>
          <w:shd w:val="clear" w:color="auto" w:fill="FFFFFF"/>
        </w:rPr>
        <w:t>закупі</w:t>
      </w:r>
      <w:proofErr w:type="gramStart"/>
      <w:r w:rsidRPr="00E506E5">
        <w:rPr>
          <w:rFonts w:ascii="Times New Roman" w:hAnsi="Times New Roman" w:cs="Times New Roman"/>
          <w:sz w:val="20"/>
          <w:szCs w:val="20"/>
          <w:shd w:val="clear" w:color="auto" w:fill="FFFFFF"/>
        </w:rPr>
        <w:t>вл</w:t>
      </w:r>
      <w:proofErr w:type="gramEnd"/>
      <w:r w:rsidRPr="00E506E5">
        <w:rPr>
          <w:rFonts w:ascii="Times New Roman" w:hAnsi="Times New Roman" w:cs="Times New Roman"/>
          <w:sz w:val="20"/>
          <w:szCs w:val="20"/>
          <w:shd w:val="clear" w:color="auto" w:fill="FFFFFF"/>
        </w:rPr>
        <w:t>і</w:t>
      </w:r>
      <w:proofErr w:type="spellEnd"/>
      <w:r w:rsidRPr="00E506E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E506E5">
        <w:rPr>
          <w:rFonts w:ascii="Times New Roman" w:hAnsi="Times New Roman" w:cs="Times New Roman"/>
          <w:sz w:val="20"/>
          <w:szCs w:val="20"/>
          <w:shd w:val="clear" w:color="auto" w:fill="FFFFFF"/>
        </w:rPr>
        <w:t>підтверджує</w:t>
      </w:r>
      <w:proofErr w:type="spellEnd"/>
      <w:r w:rsidRPr="00E506E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в </w:t>
      </w:r>
      <w:proofErr w:type="spellStart"/>
      <w:r w:rsidRPr="00E506E5">
        <w:rPr>
          <w:rFonts w:ascii="Times New Roman" w:hAnsi="Times New Roman" w:cs="Times New Roman"/>
          <w:sz w:val="20"/>
          <w:szCs w:val="20"/>
          <w:shd w:val="clear" w:color="auto" w:fill="FFFFFF"/>
        </w:rPr>
        <w:t>електронній</w:t>
      </w:r>
      <w:proofErr w:type="spellEnd"/>
      <w:r w:rsidRPr="00E506E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E506E5">
        <w:rPr>
          <w:rFonts w:ascii="Times New Roman" w:hAnsi="Times New Roman" w:cs="Times New Roman"/>
          <w:sz w:val="20"/>
          <w:szCs w:val="20"/>
          <w:shd w:val="clear" w:color="auto" w:fill="FFFFFF"/>
        </w:rPr>
        <w:t>системі</w:t>
      </w:r>
      <w:proofErr w:type="spellEnd"/>
      <w:r w:rsidRPr="00E506E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E506E5">
        <w:rPr>
          <w:rFonts w:ascii="Times New Roman" w:hAnsi="Times New Roman" w:cs="Times New Roman"/>
          <w:sz w:val="20"/>
          <w:szCs w:val="20"/>
          <w:shd w:val="clear" w:color="auto" w:fill="FFFFFF"/>
        </w:rPr>
        <w:t>закупівель</w:t>
      </w:r>
      <w:proofErr w:type="spellEnd"/>
      <w:r w:rsidRPr="00E506E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E506E5">
        <w:rPr>
          <w:rFonts w:ascii="Times New Roman" w:hAnsi="Times New Roman" w:cs="Times New Roman"/>
          <w:sz w:val="20"/>
          <w:szCs w:val="20"/>
          <w:shd w:val="clear" w:color="auto" w:fill="FFFFFF"/>
        </w:rPr>
        <w:t>відсутність</w:t>
      </w:r>
      <w:proofErr w:type="spellEnd"/>
      <w:r w:rsidRPr="00E506E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в </w:t>
      </w:r>
      <w:proofErr w:type="spellStart"/>
      <w:r w:rsidRPr="00E506E5">
        <w:rPr>
          <w:rFonts w:ascii="Times New Roman" w:hAnsi="Times New Roman" w:cs="Times New Roman"/>
          <w:sz w:val="20"/>
          <w:szCs w:val="20"/>
          <w:shd w:val="clear" w:color="auto" w:fill="FFFFFF"/>
        </w:rPr>
        <w:t>учасника</w:t>
      </w:r>
      <w:proofErr w:type="spellEnd"/>
      <w:r w:rsidRPr="00E506E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E506E5">
        <w:rPr>
          <w:rFonts w:ascii="Times New Roman" w:hAnsi="Times New Roman" w:cs="Times New Roman"/>
          <w:sz w:val="20"/>
          <w:szCs w:val="20"/>
          <w:shd w:val="clear" w:color="auto" w:fill="FFFFFF"/>
        </w:rPr>
        <w:t>процедури</w:t>
      </w:r>
      <w:proofErr w:type="spellEnd"/>
      <w:r w:rsidRPr="00E506E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E506E5">
        <w:rPr>
          <w:rFonts w:ascii="Times New Roman" w:hAnsi="Times New Roman" w:cs="Times New Roman"/>
          <w:sz w:val="20"/>
          <w:szCs w:val="20"/>
          <w:shd w:val="clear" w:color="auto" w:fill="FFFFFF"/>
        </w:rPr>
        <w:t>закупівлі</w:t>
      </w:r>
      <w:proofErr w:type="spellEnd"/>
      <w:r w:rsidRPr="00E506E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E506E5">
        <w:rPr>
          <w:rFonts w:ascii="Times New Roman" w:hAnsi="Times New Roman" w:cs="Times New Roman"/>
          <w:sz w:val="20"/>
          <w:szCs w:val="20"/>
          <w:shd w:val="clear" w:color="auto" w:fill="FFFFFF"/>
        </w:rPr>
        <w:t>підстав</w:t>
      </w:r>
      <w:proofErr w:type="spellEnd"/>
      <w:r w:rsidRPr="00E506E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E506E5">
        <w:rPr>
          <w:rFonts w:ascii="Times New Roman" w:hAnsi="Times New Roman" w:cs="Times New Roman"/>
          <w:sz w:val="20"/>
          <w:szCs w:val="20"/>
          <w:shd w:val="clear" w:color="auto" w:fill="FFFFFF"/>
        </w:rPr>
        <w:t>визначених</w:t>
      </w:r>
      <w:proofErr w:type="spellEnd"/>
      <w:r w:rsidRPr="00E506E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E506E5">
        <w:rPr>
          <w:rFonts w:ascii="Times New Roman" w:hAnsi="Times New Roman" w:cs="Times New Roman"/>
          <w:sz w:val="20"/>
          <w:szCs w:val="20"/>
          <w:shd w:val="clear" w:color="auto" w:fill="FFFFFF"/>
        </w:rPr>
        <w:t>підпунктами</w:t>
      </w:r>
      <w:proofErr w:type="spellEnd"/>
      <w:r w:rsidRPr="00E506E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1 та 7 пункту </w:t>
      </w:r>
      <w:r w:rsidRPr="00E506E5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47 Особливостей.</w:t>
      </w:r>
    </w:p>
    <w:p w:rsidR="004239E4" w:rsidRPr="00E506E5" w:rsidRDefault="004239E4" w:rsidP="004239E4">
      <w:pPr>
        <w:pStyle w:val="af7"/>
        <w:widowControl w:val="0"/>
        <w:jc w:val="both"/>
        <w:rPr>
          <w:rFonts w:ascii="Times New Roman" w:hAnsi="Times New Roman"/>
          <w:color w:val="000000"/>
          <w:sz w:val="20"/>
        </w:rPr>
      </w:pPr>
      <w:r w:rsidRPr="00E506E5">
        <w:rPr>
          <w:rFonts w:ascii="Times New Roman" w:hAnsi="Times New Roman"/>
          <w:sz w:val="20"/>
          <w:shd w:val="clear" w:color="auto" w:fill="FFFFFF"/>
        </w:rPr>
        <w:t>Для об’єднання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</w:t>
      </w:r>
      <w:r w:rsidRPr="00E506E5">
        <w:rPr>
          <w:rFonts w:ascii="Times New Roman" w:hAnsi="Times New Roman"/>
          <w:sz w:val="20"/>
        </w:rPr>
        <w:t xml:space="preserve"> учасників об’єднання установленим кваліфікаційним критеріям та підставам, визначеним пунктом 47 Особливостей.</w:t>
      </w:r>
    </w:p>
    <w:p w:rsidR="004239E4" w:rsidRPr="004239E4" w:rsidRDefault="004239E4" w:rsidP="004239E4">
      <w:pPr>
        <w:widowControl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239E4">
        <w:rPr>
          <w:rFonts w:ascii="Times New Roman" w:hAnsi="Times New Roman" w:cs="Times New Roman"/>
          <w:color w:val="000000"/>
          <w:sz w:val="20"/>
          <w:szCs w:val="20"/>
          <w:lang w:val="uk-UA"/>
        </w:rPr>
        <w:t>Замовник приймає рішення про відмову учаснику процедури закупівлі в участі у відкритих торгах та зобов’язаний відхилити тендерну пропозицію учасника процедури закупівлі в разі, коли:</w:t>
      </w:r>
    </w:p>
    <w:tbl>
      <w:tblPr>
        <w:tblW w:w="0" w:type="auto"/>
        <w:tblInd w:w="-20" w:type="dxa"/>
        <w:tblLayout w:type="fixed"/>
        <w:tblLook w:val="0000"/>
      </w:tblPr>
      <w:tblGrid>
        <w:gridCol w:w="674"/>
        <w:gridCol w:w="3559"/>
        <w:gridCol w:w="2767"/>
        <w:gridCol w:w="2609"/>
      </w:tblGrid>
      <w:tr w:rsidR="004239E4" w:rsidRPr="00E506E5" w:rsidTr="0089349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Підстава для відмови в участі процедурі закупівлі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Для учасника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Для переможця</w:t>
            </w:r>
          </w:p>
        </w:tc>
      </w:tr>
      <w:tr w:rsidR="004239E4" w:rsidRPr="00E506E5" w:rsidTr="0089349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1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Замовник має незаперечні докази того, що учасник процедури закупівлі пропонує, дає або погоджується дати прямо чи опосередковано будь-якій службовій (посадовій) особі замовника, іншого державного органу винагороду в будь-якій формі (пропозиція щодо наймання на роботу, цінна річ, послуга тощо) з метою вплинути на прийняття рішення щодо визначення переможця процедури закупівлі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Замовник самостійно за результатами розгляду тендерної пропозиції учасника процедури закупівлі </w:t>
            </w: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підтверджує в електронній системі закупівель відсутність </w:t>
            </w:r>
            <w:r w:rsidRPr="00E506E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в учасника </w:t>
            </w: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підстав, визначених цим підпунктом.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Підтвердження не вимагається</w:t>
            </w:r>
          </w:p>
        </w:tc>
      </w:tr>
      <w:tr w:rsidR="004239E4" w:rsidRPr="00E506E5" w:rsidTr="0089349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Відомості про юридичну особу, яка є </w:t>
            </w: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учасником процедури закупівлі, внесено до Єдиного державного реєстру осіб, які вчинили корупційні або пов’язані з корупцією правопорушення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Учасник процедури закупівлі </w:t>
            </w: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пропозиції..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Підтвердження не </w:t>
            </w: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вимагається</w:t>
            </w:r>
          </w:p>
        </w:tc>
      </w:tr>
      <w:tr w:rsidR="004239E4" w:rsidRPr="00C931DC" w:rsidTr="0089349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3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Переможець надає витяг або довідку з Єдиного державного реєстру осіб, що вчинили корупційне або пов’язане з корупцією правопорушення  (щодо керівника)</w:t>
            </w:r>
          </w:p>
        </w:tc>
      </w:tr>
      <w:tr w:rsidR="004239E4" w:rsidRPr="00E506E5" w:rsidTr="0089349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Суб’єкт господарювання (учасник процедури закупівлі) протягом останніх трьох років притягувався до відповідальності за порушення, передбачене пунктом 4 частини другої статті 6, пунктом 1 статті 50 Закону України «Про захист економічної конкуренції», у вигляді вчинення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антиконкурентних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узгоджених дій, що стосуються спотворення результатів тендерів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пропозиції..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Підтвердження не вимагається</w:t>
            </w:r>
          </w:p>
        </w:tc>
      </w:tr>
      <w:tr w:rsidR="004239E4" w:rsidRPr="00E506E5" w:rsidTr="0089349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ізична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особа, яка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є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учасником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була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засуджена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кримінальне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вчинене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корисливих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мотивів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зокрема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пов’язане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хабарництвом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відмиванням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коштів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судимість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якої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знято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не погашено в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установленому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законом порядку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Витяг про притягнення до кримінальної відповідальності, відсутність/ наявність судимості або обмежень, передбачених кримінально-процесуальним законодавством України (щодо керівника)</w:t>
            </w:r>
          </w:p>
        </w:tc>
      </w:tr>
      <w:tr w:rsidR="004239E4" w:rsidRPr="00E506E5" w:rsidTr="00893496">
        <w:trPr>
          <w:trHeight w:val="268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ерівник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був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засуджений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кримінальне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вчинене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корисливих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мотивів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зокрема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пов’язане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хабарництвом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шахрайством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відмиванням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коштів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судимість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якого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знято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не погашено в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установленому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законом порядку;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Витяг про притягнення до кримінальної відповідальності, відсутність/ наявність судимості або обмежень, передбачених кримінально-процесуальним законодавством України (щодо керівника)</w:t>
            </w:r>
          </w:p>
        </w:tc>
      </w:tr>
      <w:tr w:rsidR="004239E4" w:rsidRPr="00E506E5" w:rsidTr="0089349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ендерна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пропозиція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подана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учасником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який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є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пов’язаною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особою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іншими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учасниками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та/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уповноваженою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особою (особами), та/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керівником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замовника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Замовник самостійно за результатами розгляду тендерної пропозиції учасника процедури закупівлі </w:t>
            </w: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підтверджує в електронній системі закупівель відсутність </w:t>
            </w:r>
            <w:r w:rsidRPr="00E506E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в учасника </w:t>
            </w: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підстав, визначених цим підпунктом.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Підтвердження не вимагається</w:t>
            </w:r>
          </w:p>
        </w:tc>
      </w:tr>
      <w:tr w:rsidR="004239E4" w:rsidRPr="00E506E5" w:rsidTr="0089349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часник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визнаний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установленому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законом порядку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банкрутом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стосовно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нього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відкрита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ліквідаційна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процедура;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</w:t>
            </w: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тендерної пропозиції.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Підтвердження не вимагається</w:t>
            </w:r>
          </w:p>
        </w:tc>
      </w:tr>
      <w:tr w:rsidR="004239E4" w:rsidRPr="00E506E5" w:rsidTr="00893496">
        <w:trPr>
          <w:trHeight w:val="245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9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Єдиному державному реєстрі юридичних осіб, фізичних осіб — підприємців та громадських формувань відсутня інформація, передбачена пунктом 9 частини другої статті 9 Закону України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“Про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державну реєстрацію юридичних осіб, фізичних осіб — підприємців та громадських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формувань”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(крім нерезидентів);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пропозиції..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Підтвердження не вимагається</w:t>
            </w:r>
          </w:p>
        </w:tc>
      </w:tr>
      <w:tr w:rsidR="004239E4" w:rsidRPr="00E506E5" w:rsidTr="00893496">
        <w:trPr>
          <w:trHeight w:val="252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pStyle w:val="af7"/>
              <w:widowControl w:val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E506E5">
              <w:rPr>
                <w:rFonts w:ascii="Times New Roman" w:hAnsi="Times New Roman"/>
                <w:sz w:val="20"/>
              </w:rPr>
              <w:t>Юридична особа, яка є учасником процедури закупівлі (крім нерезидентів), не має антикорупційної програми чи уповноваженого з реалізації антикорупційної програми, якщо вартість закупівлі товару (товарів), послуги (послуг) або робіт дорівнює чи перевищує 20 млн. гривень (у тому числі за лотом)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Підтвердження не вимагається</w:t>
            </w:r>
          </w:p>
        </w:tc>
      </w:tr>
      <w:tr w:rsidR="004239E4" w:rsidRPr="00E506E5" w:rsidTr="0089349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Учасник процедури закупівлі або кінцевий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бенефіціарний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власник, член або учасник (акціонер) юридичної особи — учасника процедури закупівлі є особою, до якої застосовано санкцію у вигляді заборони на здійснення у неї публічних закупівель товарів, робіт і послуг згідно із Законом України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“Про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санкції”</w:t>
            </w:r>
            <w:proofErr w:type="spellEnd"/>
            <w:r w:rsidRPr="00E506E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крім випадку, коли активи такої особи в установленому законодавством порядку передані в управління АРМА 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Підтвердження не вимагається</w:t>
            </w:r>
          </w:p>
        </w:tc>
      </w:tr>
      <w:tr w:rsidR="004239E4" w:rsidRPr="00E506E5" w:rsidTr="0089349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Учасник процедури закупівлі підтверджує відсутність підстав, шляхом самостійного декларування відсутності таких підстав в електронній 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єсистемі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закупівель під час подання тендерної пропозиції.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Витяг про притягнення до кримінальної відповідальності, відсутність/ наявність судимості або обмежень, передбачених кримінально-процесуальним законодавством України (щодо керівника)</w:t>
            </w:r>
          </w:p>
        </w:tc>
      </w:tr>
      <w:tr w:rsidR="004239E4" w:rsidRPr="00C931DC" w:rsidTr="00893496">
        <w:trPr>
          <w:trHeight w:val="7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часник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виконав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свої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укладеним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договором про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закупівлю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цим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самим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призвело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його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було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застосовано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санкції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вигляді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штрафів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та/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—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протягом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трьох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років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дати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такого договору.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Довідка в довільній формі про відсутність зазначених підстав;</w:t>
            </w:r>
          </w:p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Учасник процедури закупівлі, що перебуває в зазначених обставинах,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учасник повинен довести, що він сплатив або зобов’язався сплатити відповідні </w:t>
            </w: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зобов’язання та відшкодування завданих збитків.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Якщо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замовник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вважає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таке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ідтвердження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достатнім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учаснику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може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бути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відмовлено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участі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процедурі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Переможець надає довідку в довільній формі про те, що між ним та Замовником раніше не було укладено договір про закупівлю, зобов’язання за яким не виконані, що призвело до його дострокового розірвання, і було застосовано санкції у вигляді штрафів та/або відшкодування збитків </w:t>
            </w:r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—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протягом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трьох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років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дати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такого договору.</w:t>
            </w:r>
          </w:p>
          <w:p w:rsidR="004239E4" w:rsidRPr="00E506E5" w:rsidRDefault="004239E4" w:rsidP="008934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239E4" w:rsidRPr="00E506E5" w:rsidRDefault="004239E4" w:rsidP="00893496">
            <w:pPr>
              <w:pStyle w:val="af7"/>
              <w:widowControl w:val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E506E5">
              <w:rPr>
                <w:rFonts w:ascii="Times New Roman" w:hAnsi="Times New Roman"/>
                <w:sz w:val="20"/>
              </w:rPr>
              <w:t xml:space="preserve">Якщо переможець </w:t>
            </w:r>
            <w:r w:rsidRPr="00E506E5">
              <w:rPr>
                <w:rFonts w:ascii="Times New Roman" w:hAnsi="Times New Roman"/>
                <w:sz w:val="20"/>
              </w:rPr>
              <w:lastRenderedPageBreak/>
              <w:t xml:space="preserve">процедури закупівлі, перебуває в зазначених обставинах, він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переможець  повинен довести, що він сплатив або зобов’язався сплатити відповідні зобов’язання та відшкодування завданих збитків. </w:t>
            </w:r>
          </w:p>
        </w:tc>
      </w:tr>
    </w:tbl>
    <w:p w:rsidR="006C086E" w:rsidRPr="002D38FB" w:rsidRDefault="006C08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6C086E" w:rsidRDefault="002B71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>3</w:t>
      </w:r>
      <w:r w:rsidR="002A2D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. </w:t>
      </w:r>
      <w:proofErr w:type="spellStart"/>
      <w:r w:rsidR="002A2D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Інша</w:t>
      </w:r>
      <w:proofErr w:type="spellEnd"/>
      <w:r w:rsidR="002A2D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="002A2D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інформація</w:t>
      </w:r>
      <w:proofErr w:type="spellEnd"/>
      <w:r w:rsidR="002A2D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="002A2D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встановлена</w:t>
      </w:r>
      <w:proofErr w:type="spellEnd"/>
      <w:r w:rsidR="002A2D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="002A2D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відповідно</w:t>
      </w:r>
      <w:proofErr w:type="spellEnd"/>
      <w:r w:rsidR="002A2D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до </w:t>
      </w:r>
      <w:proofErr w:type="spellStart"/>
      <w:r w:rsidR="002A2D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законодавства</w:t>
      </w:r>
      <w:proofErr w:type="spellEnd"/>
      <w:r w:rsidR="002A2D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(для УЧАСНИКІВ </w:t>
      </w:r>
      <w:r w:rsidR="002A2D7D">
        <w:rPr>
          <w:rFonts w:ascii="Times New Roman" w:eastAsia="Times New Roman" w:hAnsi="Times New Roman" w:cs="Times New Roman"/>
          <w:b/>
          <w:sz w:val="20"/>
          <w:szCs w:val="20"/>
        </w:rPr>
        <w:t>—</w:t>
      </w:r>
      <w:r w:rsidR="002A2D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="002A2D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юридичних</w:t>
      </w:r>
      <w:proofErr w:type="spellEnd"/>
      <w:r w:rsidR="002A2D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="002A2D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осіб</w:t>
      </w:r>
      <w:proofErr w:type="spellEnd"/>
      <w:r w:rsidR="002A2D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 w:rsidR="002A2D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фізичних</w:t>
      </w:r>
      <w:proofErr w:type="spellEnd"/>
      <w:r w:rsidR="002A2D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="002A2D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осіб</w:t>
      </w:r>
      <w:proofErr w:type="spellEnd"/>
      <w:r w:rsidR="002A2D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та </w:t>
      </w:r>
      <w:proofErr w:type="spellStart"/>
      <w:r w:rsidR="002A2D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фізичних</w:t>
      </w:r>
      <w:proofErr w:type="spellEnd"/>
      <w:r w:rsidR="002A2D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="002A2D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осіб</w:t>
      </w:r>
      <w:proofErr w:type="spellEnd"/>
      <w:r w:rsidR="002A2D7D"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proofErr w:type="spellStart"/>
      <w:proofErr w:type="gramStart"/>
      <w:r w:rsidR="002A2D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 w:rsidR="002A2D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ідприємців</w:t>
      </w:r>
      <w:proofErr w:type="spellEnd"/>
      <w:r w:rsidR="002A2D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).</w:t>
      </w:r>
    </w:p>
    <w:tbl>
      <w:tblPr>
        <w:tblStyle w:val="ac"/>
        <w:tblW w:w="9619" w:type="dxa"/>
        <w:tblInd w:w="-100" w:type="dxa"/>
        <w:tblLayout w:type="fixed"/>
        <w:tblLook w:val="0400"/>
      </w:tblPr>
      <w:tblGrid>
        <w:gridCol w:w="626"/>
        <w:gridCol w:w="8993"/>
      </w:tblGrid>
      <w:tr w:rsidR="006C086E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86E" w:rsidRDefault="002A2D7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Інші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6C086E" w:rsidTr="006174BB">
        <w:trPr>
          <w:trHeight w:val="807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86E" w:rsidRDefault="002A2D7D" w:rsidP="00A15F1A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8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86E" w:rsidRPr="00CE4684" w:rsidRDefault="002A2D7D" w:rsidP="006174B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Якщо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тендерна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пропозиція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подається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керівником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учасника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зазначеним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Єдиному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державному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реє</w:t>
            </w:r>
            <w:proofErr w:type="gram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</w:t>
            </w:r>
            <w:proofErr w:type="gram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юридичних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осіб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фізичних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осіб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—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підприємців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громадських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формувань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а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іншою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особою,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надає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довіреність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доручення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таку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особу.</w:t>
            </w:r>
          </w:p>
        </w:tc>
      </w:tr>
      <w:tr w:rsidR="006C086E" w:rsidTr="006174BB">
        <w:trPr>
          <w:trHeight w:val="58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86E" w:rsidRDefault="002A2D7D" w:rsidP="00A15F1A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86E" w:rsidRPr="00CE4684" w:rsidRDefault="002A2D7D" w:rsidP="006174BB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7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Достовірна</w:t>
            </w:r>
            <w:proofErr w:type="spellEnd"/>
            <w:r w:rsidRPr="00617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7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інформація</w:t>
            </w:r>
            <w:proofErr w:type="spellEnd"/>
            <w:r w:rsidRPr="00617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617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вигляді</w:t>
            </w:r>
            <w:proofErr w:type="spellEnd"/>
            <w:r w:rsidRPr="00617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7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довідки</w:t>
            </w:r>
            <w:proofErr w:type="spellEnd"/>
            <w:r w:rsidRPr="00617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7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довільної</w:t>
            </w:r>
            <w:proofErr w:type="spellEnd"/>
            <w:r w:rsidRPr="00617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7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CE4684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 w:rsidR="00C37E48" w:rsidRPr="00CE468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proofErr w:type="gram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</w:t>
            </w:r>
            <w:proofErr w:type="gram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ій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зазначити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дані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наявність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чинної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ліцензії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документа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дозвільного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характеру на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провадження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виду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господарської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діяльності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якщо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отримання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дозволу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ліцензії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провадження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такого виду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діяльності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передбачено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законом.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Замість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довідки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довільної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може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надати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чинну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ліцензію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документ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дозвільного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характеру.</w:t>
            </w:r>
          </w:p>
        </w:tc>
      </w:tr>
      <w:tr w:rsidR="006C086E" w:rsidTr="006174BB">
        <w:trPr>
          <w:trHeight w:val="58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86E" w:rsidRDefault="002A2D7D" w:rsidP="00A15F1A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8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86E" w:rsidRPr="00CE4684" w:rsidRDefault="002A2D7D" w:rsidP="006174BB">
            <w:pPr>
              <w:spacing w:after="0" w:line="240" w:lineRule="auto"/>
              <w:ind w:left="12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Довідка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складена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довільній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формі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яка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містить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інформацію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засновника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кінцевого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бенефіціарного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власника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учасника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зокрема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назва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юридичної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особи,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засновником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учасника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її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місцезнаходження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країна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реєстрації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proofErr w:type="gram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proofErr w:type="gram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ізвище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ім’я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побатькові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засновника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та/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кінцевого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бенефіціарного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власника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адреса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його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sz w:val="20"/>
                <w:szCs w:val="20"/>
              </w:rPr>
              <w:t>місця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проживання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громадянство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6C086E" w:rsidRPr="00CE4684" w:rsidRDefault="002A2D7D" w:rsidP="006174BB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Зазначена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довідка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надається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лише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учасниками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юридичними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особами та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лише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період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коли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Єдиний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державний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реє</w:t>
            </w:r>
            <w:proofErr w:type="gram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</w:t>
            </w:r>
            <w:proofErr w:type="spellEnd"/>
            <w:proofErr w:type="gram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юридичних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осіб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фізичних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осіб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підприємців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громадських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формувань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функціонує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Інформація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кінцевого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бенефіціарного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власника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зазначається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довідці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лише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учасниками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юридичними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особами,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які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повинні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мати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таку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інформацію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Єдиному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державному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реє</w:t>
            </w:r>
            <w:proofErr w:type="gram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</w:t>
            </w:r>
            <w:proofErr w:type="gram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юридичних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осіб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фізичних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осіб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підприємців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громадських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формувань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відповідно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 пункту 9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частини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статті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9 Закону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України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«Про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державну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реєстрацію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юридичних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осіб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фізичних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осіб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підприємців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громадських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формувань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». </w:t>
            </w:r>
          </w:p>
        </w:tc>
      </w:tr>
      <w:tr w:rsidR="00CE4684" w:rsidTr="006174BB">
        <w:trPr>
          <w:trHeight w:val="389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4684" w:rsidRPr="00CE4684" w:rsidRDefault="00CE4684" w:rsidP="00A15F1A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8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4684" w:rsidRPr="00CE4684" w:rsidRDefault="00CE4684" w:rsidP="006174BB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CE4684">
              <w:rPr>
                <w:rFonts w:ascii="Times New Roman" w:hAnsi="Times New Roman"/>
                <w:color w:val="000000"/>
                <w:sz w:val="20"/>
                <w:szCs w:val="20"/>
              </w:rPr>
              <w:t>Копію</w:t>
            </w:r>
            <w:proofErr w:type="spellEnd"/>
            <w:r w:rsidRPr="00CE4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Статуту </w:t>
            </w:r>
            <w:proofErr w:type="spellStart"/>
            <w:r w:rsidRPr="00CE4684">
              <w:rPr>
                <w:rFonts w:ascii="Times New Roman" w:hAnsi="Times New Roman"/>
                <w:color w:val="000000"/>
                <w:sz w:val="20"/>
                <w:szCs w:val="20"/>
              </w:rPr>
              <w:t>із</w:t>
            </w:r>
            <w:proofErr w:type="spellEnd"/>
            <w:r w:rsidRPr="00CE4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hAnsi="Times New Roman"/>
                <w:color w:val="000000"/>
                <w:sz w:val="20"/>
                <w:szCs w:val="20"/>
              </w:rPr>
              <w:t>змінами</w:t>
            </w:r>
            <w:proofErr w:type="spellEnd"/>
            <w:r w:rsidRPr="00CE4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(у </w:t>
            </w:r>
            <w:proofErr w:type="spellStart"/>
            <w:r w:rsidRPr="00CE4684">
              <w:rPr>
                <w:rFonts w:ascii="Times New Roman" w:hAnsi="Times New Roman"/>
                <w:color w:val="000000"/>
                <w:sz w:val="20"/>
                <w:szCs w:val="20"/>
              </w:rPr>
              <w:t>разі</w:t>
            </w:r>
            <w:proofErr w:type="spellEnd"/>
            <w:r w:rsidRPr="00CE4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hAnsi="Times New Roman"/>
                <w:color w:val="000000"/>
                <w:sz w:val="20"/>
                <w:szCs w:val="20"/>
              </w:rPr>
              <w:t>їх</w:t>
            </w:r>
            <w:proofErr w:type="spellEnd"/>
            <w:r w:rsidRPr="00CE4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hAnsi="Times New Roman"/>
                <w:color w:val="000000"/>
                <w:sz w:val="20"/>
                <w:szCs w:val="20"/>
              </w:rPr>
              <w:t>наявності</w:t>
            </w:r>
            <w:proofErr w:type="spellEnd"/>
            <w:r w:rsidRPr="00CE4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 </w:t>
            </w:r>
            <w:proofErr w:type="spellStart"/>
            <w:r w:rsidRPr="00CE4684">
              <w:rPr>
                <w:rFonts w:ascii="Times New Roman" w:hAnsi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CE4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hAnsi="Times New Roman"/>
                <w:color w:val="000000"/>
                <w:sz w:val="20"/>
                <w:szCs w:val="20"/>
              </w:rPr>
              <w:t>іншого</w:t>
            </w:r>
            <w:proofErr w:type="spellEnd"/>
            <w:r w:rsidRPr="00CE4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hAnsi="Times New Roman"/>
                <w:color w:val="000000"/>
                <w:sz w:val="20"/>
                <w:szCs w:val="20"/>
              </w:rPr>
              <w:t>установчого</w:t>
            </w:r>
            <w:proofErr w:type="spellEnd"/>
            <w:r w:rsidRPr="00CE4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документ</w:t>
            </w:r>
            <w:proofErr w:type="gramStart"/>
            <w:r w:rsidRPr="00CE4684">
              <w:rPr>
                <w:rFonts w:ascii="Times New Roman" w:hAnsi="Times New Roman"/>
                <w:color w:val="000000"/>
                <w:sz w:val="20"/>
                <w:szCs w:val="20"/>
              </w:rPr>
              <w:t>у(</w:t>
            </w:r>
            <w:proofErr w:type="gramEnd"/>
            <w:r w:rsidRPr="00CE4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договору) </w:t>
            </w:r>
            <w:r w:rsidRPr="00CE468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</w:t>
            </w:r>
          </w:p>
        </w:tc>
      </w:tr>
      <w:tr w:rsidR="00CE4684" w:rsidTr="006174BB">
        <w:trPr>
          <w:trHeight w:val="58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4684" w:rsidRPr="00CE4684" w:rsidRDefault="00CE4684" w:rsidP="00A15F1A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8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4684" w:rsidRPr="00CE4684" w:rsidRDefault="00CE4684" w:rsidP="006174BB">
            <w:pPr>
              <w:pStyle w:val="af3"/>
              <w:keepNext/>
              <w:keepLines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468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Копію</w:t>
            </w:r>
            <w:r w:rsidRPr="00CE4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(-</w:t>
            </w:r>
            <w:proofErr w:type="spellStart"/>
            <w:r w:rsidRPr="00CE4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</w:t>
            </w:r>
            <w:proofErr w:type="spellEnd"/>
            <w:r w:rsidRPr="00CE4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документу(-</w:t>
            </w:r>
            <w:proofErr w:type="spellStart"/>
            <w:r w:rsidRPr="00CE468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ів</w:t>
            </w:r>
            <w:proofErr w:type="spellEnd"/>
            <w:r w:rsidRPr="00CE4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CE468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або довідку</w:t>
            </w:r>
            <w:r w:rsidRPr="00CE4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CE468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посиланням</w:t>
            </w:r>
            <w:r w:rsidRPr="00CE4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документ(-и),</w:t>
            </w:r>
            <w:r w:rsidRPr="00CE468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який</w:t>
            </w:r>
            <w:r w:rsidRPr="00CE4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(-</w:t>
            </w:r>
            <w:proofErr w:type="spellStart"/>
            <w:r w:rsidRPr="00CE4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</w:t>
            </w:r>
            <w:proofErr w:type="spellEnd"/>
            <w:r w:rsidRPr="00CE4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CE4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є</w:t>
            </w:r>
            <w:proofErr w:type="spellEnd"/>
            <w:r w:rsidRPr="00CE4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</w:t>
            </w:r>
            <w:r w:rsidRPr="00CE468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складі пропозиції відкритих торгів</w:t>
            </w:r>
            <w:r w:rsidRPr="00CE4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CE468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що підтверджує</w:t>
            </w:r>
            <w:r w:rsidRPr="00CE4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(-</w:t>
            </w:r>
            <w:proofErr w:type="spellStart"/>
            <w:r w:rsidRPr="00CE468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ють</w:t>
            </w:r>
            <w:proofErr w:type="spellEnd"/>
            <w:r w:rsidRPr="00CE4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CE468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правомочність учасника</w:t>
            </w:r>
            <w:r w:rsidRPr="00CE4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</w:t>
            </w:r>
            <w:r w:rsidRPr="00CE468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укладення</w:t>
            </w:r>
            <w:r w:rsidRPr="00CE4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договору про</w:t>
            </w:r>
            <w:r w:rsidRPr="00CE468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закупівлю.</w:t>
            </w:r>
          </w:p>
        </w:tc>
      </w:tr>
      <w:tr w:rsidR="00CE4684" w:rsidRPr="00C931DC" w:rsidTr="002D38FB">
        <w:trPr>
          <w:trHeight w:val="329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4684" w:rsidRPr="00CE4684" w:rsidRDefault="00CE4684" w:rsidP="00A15F1A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8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4684" w:rsidRPr="00CE4684" w:rsidRDefault="00CE4684" w:rsidP="006174BB">
            <w:pPr>
              <w:pStyle w:val="af3"/>
              <w:keepNext/>
              <w:keepLines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468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Копію документу, що підтверджує реєстрацію юридичної особи, або фізичної особи – підприємця</w:t>
            </w:r>
          </w:p>
        </w:tc>
      </w:tr>
      <w:tr w:rsidR="00CE4684" w:rsidTr="006174BB">
        <w:trPr>
          <w:trHeight w:val="58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4684" w:rsidRPr="00CE4684" w:rsidRDefault="00CE4684" w:rsidP="00A15F1A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8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4684" w:rsidRPr="00824882" w:rsidRDefault="00CE4684" w:rsidP="006174BB">
            <w:pPr>
              <w:pStyle w:val="af3"/>
              <w:keepNext/>
              <w:keepLines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48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Проект договору, скріплений підписом та печаткою уповноваженої особи учасника згідно додатку №</w:t>
            </w:r>
            <w:r w:rsidR="003C48F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Pr="008248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 лист-згоду з проектом договору</w:t>
            </w:r>
          </w:p>
        </w:tc>
      </w:tr>
      <w:tr w:rsidR="00824882" w:rsidTr="006174BB">
        <w:trPr>
          <w:trHeight w:val="58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4882" w:rsidRDefault="00824882" w:rsidP="00A15F1A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8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4882" w:rsidRPr="00824882" w:rsidRDefault="00824882" w:rsidP="006174BB">
            <w:pPr>
              <w:pStyle w:val="af3"/>
              <w:keepNext/>
              <w:keepLines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48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Довідка, складена у довільній формі, за підписом уповноваженої особи Учасника та завірена печаткою </w:t>
            </w:r>
            <w:r w:rsidRPr="00824882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(за наявності)</w:t>
            </w:r>
            <w:r w:rsidRPr="008248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яка містить відомості про підприємство: </w:t>
            </w:r>
          </w:p>
          <w:p w:rsidR="00824882" w:rsidRPr="00824882" w:rsidRDefault="00824882" w:rsidP="006174BB">
            <w:pPr>
              <w:pStyle w:val="af3"/>
              <w:keepNext/>
              <w:keepLines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48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а) реквізити (місцезнаходження, телефон, факс); </w:t>
            </w:r>
          </w:p>
          <w:p w:rsidR="00824882" w:rsidRPr="00824882" w:rsidRDefault="00824882" w:rsidP="006174BB">
            <w:pPr>
              <w:pStyle w:val="af3"/>
              <w:keepNext/>
              <w:keepLines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48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б) керівництво (посада, прізвище, ім’я, по батькові); </w:t>
            </w:r>
          </w:p>
          <w:p w:rsidR="00824882" w:rsidRPr="00824882" w:rsidRDefault="00824882" w:rsidP="006174BB">
            <w:pPr>
              <w:pStyle w:val="af3"/>
              <w:keepNext/>
              <w:keepLines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48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в) інформація про реквізити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8248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банківського рахунку, за якими буде здійснюватися оплата за договором </w:t>
            </w:r>
            <w:r w:rsidRPr="008248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в разі акцепту</w:t>
            </w:r>
          </w:p>
        </w:tc>
      </w:tr>
      <w:tr w:rsidR="006174BB" w:rsidRPr="002B71B3" w:rsidTr="002D38FB">
        <w:trPr>
          <w:trHeight w:val="8156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4BB" w:rsidRDefault="006174BB" w:rsidP="00A15F1A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lastRenderedPageBreak/>
              <w:t>9</w:t>
            </w:r>
          </w:p>
        </w:tc>
        <w:tc>
          <w:tcPr>
            <w:tcW w:w="8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1B3" w:rsidRDefault="002B71B3" w:rsidP="002B71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2B71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Інформація</w:t>
            </w:r>
            <w:proofErr w:type="spellEnd"/>
            <w:r w:rsidRPr="002B71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2B71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довільній</w:t>
            </w:r>
            <w:proofErr w:type="spellEnd"/>
            <w:r w:rsidRPr="002B71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71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формі</w:t>
            </w:r>
            <w:proofErr w:type="spellEnd"/>
            <w:r w:rsidRPr="002B71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 те, </w:t>
            </w:r>
            <w:proofErr w:type="spellStart"/>
            <w:r w:rsidRPr="002B71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 w:rsidRPr="002B71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71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учасник</w:t>
            </w:r>
            <w:proofErr w:type="spellEnd"/>
            <w:r w:rsidRPr="002B71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71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процедури</w:t>
            </w:r>
            <w:proofErr w:type="spellEnd"/>
            <w:r w:rsidRPr="002B71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71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закупі</w:t>
            </w:r>
            <w:proofErr w:type="gramStart"/>
            <w:r w:rsidRPr="002B71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 w:rsidRPr="002B71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</w:t>
            </w:r>
            <w:proofErr w:type="spellEnd"/>
            <w:r w:rsidRPr="002B71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є:</w:t>
            </w:r>
          </w:p>
          <w:p w:rsidR="00133E8C" w:rsidRPr="00133E8C" w:rsidRDefault="00133E8C" w:rsidP="00133E8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33E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–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громадянином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Російської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Федерації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/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Республіки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Білорусь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крім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того,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що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проживає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на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території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України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на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законних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133E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</w:t>
            </w:r>
            <w:proofErr w:type="gramEnd"/>
            <w:r w:rsidRPr="00133E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ідставах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);</w:t>
            </w:r>
          </w:p>
          <w:p w:rsidR="00133E8C" w:rsidRPr="00133E8C" w:rsidRDefault="00133E8C" w:rsidP="00133E8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33E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– 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юридичною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особою,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утвореною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та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зареєстрованою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відповідно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до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законодавства</w:t>
            </w:r>
            <w:proofErr w:type="spellEnd"/>
            <w:proofErr w:type="gramStart"/>
            <w:r w:rsidRPr="00133E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133E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осійської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Федерації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/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Республіки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Білорусь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; </w:t>
            </w:r>
          </w:p>
          <w:p w:rsidR="00133E8C" w:rsidRPr="00133E8C" w:rsidRDefault="00133E8C" w:rsidP="00133E8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3E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–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юридичною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особою,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утвореною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та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зареєстрованою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відповідно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до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законодавства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України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кінцевим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бенефіціарним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вл</w:t>
            </w:r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асником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, членом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учасником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акціонером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має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частку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в статутному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капіталі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10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більше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відсотків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далі</w:t>
            </w:r>
            <w:proofErr w:type="spellEnd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— </w:t>
            </w:r>
            <w:proofErr w:type="spellStart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активи</w:t>
            </w:r>
            <w:proofErr w:type="spellEnd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  <w:r w:rsidRPr="00133E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яко</w:t>
            </w:r>
            <w:proofErr w:type="gram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ї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є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осійська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Федерація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Республіка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Білорусь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громадянин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Російської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Федерації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Республіки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Білорусь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крім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того,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проживає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території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законних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ідставах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133E8C" w:rsidRPr="00133E8C" w:rsidRDefault="00133E8C" w:rsidP="00133E8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юридичною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особою,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утвореною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зареєстрованою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відповідно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законодавства</w:t>
            </w:r>
            <w:proofErr w:type="spellEnd"/>
            <w:proofErr w:type="gram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осійської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Федерації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Республіки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Білорусь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крім</w:t>
            </w:r>
            <w:proofErr w:type="spellEnd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випадків</w:t>
            </w:r>
            <w:proofErr w:type="spellEnd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коли </w:t>
            </w:r>
            <w:proofErr w:type="spellStart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активи</w:t>
            </w:r>
            <w:proofErr w:type="spellEnd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установленому</w:t>
            </w:r>
            <w:proofErr w:type="spellEnd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законодавством</w:t>
            </w:r>
            <w:proofErr w:type="spellEnd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порядку </w:t>
            </w:r>
            <w:proofErr w:type="spellStart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передані</w:t>
            </w:r>
            <w:proofErr w:type="spellEnd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управління</w:t>
            </w:r>
            <w:proofErr w:type="spellEnd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Національному</w:t>
            </w:r>
            <w:proofErr w:type="spellEnd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агентству </w:t>
            </w:r>
            <w:proofErr w:type="spellStart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</w:t>
            </w:r>
            <w:proofErr w:type="spellEnd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питань</w:t>
            </w:r>
            <w:proofErr w:type="spellEnd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виявлення</w:t>
            </w:r>
            <w:proofErr w:type="spellEnd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розшуку</w:t>
            </w:r>
            <w:proofErr w:type="spellEnd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управління</w:t>
            </w:r>
            <w:proofErr w:type="spellEnd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активами, </w:t>
            </w:r>
            <w:proofErr w:type="spellStart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одержаними</w:t>
            </w:r>
            <w:proofErr w:type="spellEnd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від</w:t>
            </w:r>
            <w:proofErr w:type="spellEnd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корупційних</w:t>
            </w:r>
            <w:proofErr w:type="spellEnd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інших</w:t>
            </w:r>
            <w:proofErr w:type="spellEnd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злочинів</w:t>
            </w:r>
            <w:proofErr w:type="spellEnd"/>
            <w:r w:rsidRPr="00133E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33E8C" w:rsidRPr="00133E8C" w:rsidRDefault="00133E8C" w:rsidP="00133E8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пропонує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тендерній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пропозиції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товари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походженням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Російської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Федерації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Республіки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Білорусь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(за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винятком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товарів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необхідних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для ремонту та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обслуговування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товарів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придбаних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набрання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чинності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постановою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Кабінету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Міні</w:t>
            </w:r>
            <w:proofErr w:type="gram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gram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ів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12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жовтня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2022 р. № 1178.</w:t>
            </w:r>
          </w:p>
          <w:p w:rsidR="00133E8C" w:rsidRPr="00133E8C" w:rsidRDefault="00133E8C" w:rsidP="00133E8C">
            <w:pPr>
              <w:numPr>
                <w:ilvl w:val="1"/>
                <w:numId w:val="2"/>
              </w:numPr>
              <w:suppressAutoHyphens/>
              <w:spacing w:after="2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Якщо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закупі</w:t>
            </w:r>
            <w:proofErr w:type="gram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є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громадянином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РФ/ РБ,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який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проживає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території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законних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підставах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кінцевим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бенефіціарним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вл</w:t>
            </w:r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асником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, членом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учасником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акціонером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має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частку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в статутному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капіталі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10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більше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відсотків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далі</w:t>
            </w:r>
            <w:proofErr w:type="spellEnd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— </w:t>
            </w:r>
            <w:proofErr w:type="spellStart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активи</w:t>
            </w:r>
            <w:proofErr w:type="spellEnd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  <w:r w:rsidRPr="00133E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є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громадянин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РФ /РБ,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який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проживає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території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законних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підставах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надає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складі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тендерної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пропозиції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документальне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ідтвердження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підстав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перебування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території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посвідка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постійне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чи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тимчасове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проживання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посвідчення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біженця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чи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документ,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посвідчує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надання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притулку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паспортний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 та/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іміграційна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картка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тощо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  <w:p w:rsidR="006174BB" w:rsidRPr="00133E8C" w:rsidRDefault="00133E8C" w:rsidP="00133E8C">
            <w:pPr>
              <w:numPr>
                <w:ilvl w:val="1"/>
                <w:numId w:val="2"/>
              </w:numPr>
              <w:suppressAutoHyphens/>
              <w:spacing w:after="2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Якщо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є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юридичною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особою,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утвореною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зареєстрованою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відповідно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законодавства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РФ /РБ, </w:t>
            </w:r>
            <w:proofErr w:type="spellStart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активи</w:t>
            </w:r>
            <w:proofErr w:type="spellEnd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якої</w:t>
            </w:r>
            <w:proofErr w:type="spellEnd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установленому</w:t>
            </w:r>
            <w:proofErr w:type="spellEnd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законодавством</w:t>
            </w:r>
            <w:proofErr w:type="spellEnd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порядку </w:t>
            </w:r>
            <w:proofErr w:type="spellStart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передані</w:t>
            </w:r>
            <w:proofErr w:type="spellEnd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управління</w:t>
            </w:r>
            <w:proofErr w:type="spellEnd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Національному</w:t>
            </w:r>
            <w:proofErr w:type="spellEnd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агентству </w:t>
            </w:r>
            <w:proofErr w:type="spellStart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</w:t>
            </w:r>
            <w:proofErr w:type="spellEnd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питань</w:t>
            </w:r>
            <w:proofErr w:type="spellEnd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виявлення</w:t>
            </w:r>
            <w:proofErr w:type="spellEnd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розшуку</w:t>
            </w:r>
            <w:proofErr w:type="spellEnd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управління</w:t>
            </w:r>
            <w:proofErr w:type="spellEnd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активами, </w:t>
            </w:r>
            <w:proofErr w:type="spellStart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одержаними</w:t>
            </w:r>
            <w:proofErr w:type="spellEnd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від</w:t>
            </w:r>
            <w:proofErr w:type="spellEnd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корупційних</w:t>
            </w:r>
            <w:proofErr w:type="spellEnd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інших</w:t>
            </w:r>
            <w:proofErr w:type="spellEnd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злочинів</w:t>
            </w:r>
            <w:proofErr w:type="spellEnd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учасник</w:t>
            </w:r>
            <w:proofErr w:type="spellEnd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надає</w:t>
            </w:r>
            <w:proofErr w:type="spellEnd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документ, </w:t>
            </w:r>
            <w:proofErr w:type="spellStart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що</w:t>
            </w:r>
            <w:proofErr w:type="spellEnd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підтверджує</w:t>
            </w:r>
            <w:proofErr w:type="spellEnd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передачу </w:t>
            </w:r>
            <w:proofErr w:type="spellStart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активів</w:t>
            </w:r>
            <w:proofErr w:type="spellEnd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управління</w:t>
            </w:r>
            <w:proofErr w:type="spellEnd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а </w:t>
            </w:r>
            <w:proofErr w:type="spellStart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саме</w:t>
            </w:r>
            <w:proofErr w:type="spellEnd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згоду</w:t>
            </w:r>
            <w:proofErr w:type="spellEnd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власника</w:t>
            </w:r>
            <w:proofErr w:type="spellEnd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або</w:t>
            </w:r>
            <w:proofErr w:type="spellEnd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відповідну</w:t>
            </w:r>
            <w:proofErr w:type="spellEnd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ухвалу</w:t>
            </w:r>
            <w:proofErr w:type="spellEnd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на передачу </w:t>
            </w:r>
            <w:proofErr w:type="spellStart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активів</w:t>
            </w:r>
            <w:proofErr w:type="spellEnd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управління</w:t>
            </w:r>
            <w:proofErr w:type="spellEnd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.  </w:t>
            </w:r>
          </w:p>
        </w:tc>
      </w:tr>
      <w:tr w:rsidR="006174BB" w:rsidRPr="00C931DC" w:rsidTr="00133E8C">
        <w:trPr>
          <w:trHeight w:val="2167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4BB" w:rsidRDefault="006174BB" w:rsidP="00A15F1A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8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E8C" w:rsidRPr="00133E8C" w:rsidRDefault="00133E8C" w:rsidP="00133E8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00"/>
                <w:lang w:val="uk-UA"/>
              </w:rPr>
            </w:pPr>
            <w:r w:rsidRPr="00133E8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Учасник, місце реєстрації або місце проживання  якого на тимчасово окупованих територіях, надає довідку в довільній формі про зміну місця здійснення діяльності / адреси на підконтрольну територію, а також надає документальне підтвердження такої зміни (договір оренди, довідка ВПО, інформація про зміну податкової адреси тощо). </w:t>
            </w:r>
          </w:p>
          <w:p w:rsidR="006174BB" w:rsidRPr="0094373F" w:rsidRDefault="00133E8C" w:rsidP="00133E8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4373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Тимчасово окупованою територією є частини території України,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Федерації.</w:t>
            </w:r>
          </w:p>
        </w:tc>
      </w:tr>
    </w:tbl>
    <w:p w:rsidR="006C086E" w:rsidRPr="006174BB" w:rsidRDefault="006C08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6C086E" w:rsidRPr="006174BB" w:rsidRDefault="006C086E">
      <w:pPr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sectPr w:rsidR="006C086E" w:rsidRPr="006174BB" w:rsidSect="009874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ADF" w:rsidRDefault="007D6ADF" w:rsidP="00C37E48">
      <w:pPr>
        <w:spacing w:after="0" w:line="240" w:lineRule="auto"/>
      </w:pPr>
      <w:r>
        <w:separator/>
      </w:r>
    </w:p>
  </w:endnote>
  <w:endnote w:type="continuationSeparator" w:id="0">
    <w:p w:rsidR="007D6ADF" w:rsidRDefault="007D6ADF" w:rsidP="00C37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87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E48" w:rsidRDefault="00C37E48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76147"/>
      <w:docPartObj>
        <w:docPartGallery w:val="Page Numbers (Bottom of Page)"/>
        <w:docPartUnique/>
      </w:docPartObj>
    </w:sdtPr>
    <w:sdtContent>
      <w:p w:rsidR="00C37E48" w:rsidRDefault="00E5295C">
        <w:pPr>
          <w:pStyle w:val="af1"/>
          <w:jc w:val="right"/>
        </w:pPr>
        <w:fldSimple w:instr=" PAGE   \* MERGEFORMAT ">
          <w:r w:rsidR="00C931DC">
            <w:rPr>
              <w:noProof/>
            </w:rPr>
            <w:t>5</w:t>
          </w:r>
        </w:fldSimple>
      </w:p>
    </w:sdtContent>
  </w:sdt>
  <w:p w:rsidR="00C37E48" w:rsidRDefault="00C37E48">
    <w:pPr>
      <w:pStyle w:val="af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E48" w:rsidRDefault="00C37E48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ADF" w:rsidRDefault="007D6ADF" w:rsidP="00C37E48">
      <w:pPr>
        <w:spacing w:after="0" w:line="240" w:lineRule="auto"/>
      </w:pPr>
      <w:r>
        <w:separator/>
      </w:r>
    </w:p>
  </w:footnote>
  <w:footnote w:type="continuationSeparator" w:id="0">
    <w:p w:rsidR="007D6ADF" w:rsidRDefault="007D6ADF" w:rsidP="00C37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E48" w:rsidRDefault="00C37E48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E48" w:rsidRDefault="00C37E48">
    <w:pPr>
      <w:pStyle w:val="af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E48" w:rsidRDefault="00C37E48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33A2A"/>
    <w:multiLevelType w:val="multilevel"/>
    <w:tmpl w:val="228C97AE"/>
    <w:lvl w:ilvl="0">
      <w:start w:val="1"/>
      <w:numFmt w:val="decimal"/>
      <w:lvlText w:val="%1-"/>
      <w:lvlJc w:val="left"/>
      <w:pPr>
        <w:ind w:left="430" w:hanging="430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645434DE"/>
    <w:multiLevelType w:val="hybridMultilevel"/>
    <w:tmpl w:val="C5A02EB4"/>
    <w:lvl w:ilvl="0" w:tplc="B8E24E64">
      <w:start w:val="7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731C398C"/>
    <w:multiLevelType w:val="multilevel"/>
    <w:tmpl w:val="E8BAD9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86E"/>
    <w:rsid w:val="00026636"/>
    <w:rsid w:val="00034455"/>
    <w:rsid w:val="00062EDC"/>
    <w:rsid w:val="000876FB"/>
    <w:rsid w:val="00090421"/>
    <w:rsid w:val="00133E8C"/>
    <w:rsid w:val="001D6E50"/>
    <w:rsid w:val="00213009"/>
    <w:rsid w:val="002A2D7D"/>
    <w:rsid w:val="002B71B3"/>
    <w:rsid w:val="002D38FB"/>
    <w:rsid w:val="003C48F1"/>
    <w:rsid w:val="003D42CD"/>
    <w:rsid w:val="004239E4"/>
    <w:rsid w:val="005375F8"/>
    <w:rsid w:val="00586603"/>
    <w:rsid w:val="005A3BCE"/>
    <w:rsid w:val="005E2A22"/>
    <w:rsid w:val="006174BB"/>
    <w:rsid w:val="00630330"/>
    <w:rsid w:val="00674128"/>
    <w:rsid w:val="0069167B"/>
    <w:rsid w:val="006A22D2"/>
    <w:rsid w:val="006C086E"/>
    <w:rsid w:val="006D6CFE"/>
    <w:rsid w:val="006E6251"/>
    <w:rsid w:val="007009DD"/>
    <w:rsid w:val="007173D3"/>
    <w:rsid w:val="007C663D"/>
    <w:rsid w:val="007D6ADF"/>
    <w:rsid w:val="00824882"/>
    <w:rsid w:val="008F2592"/>
    <w:rsid w:val="0094373F"/>
    <w:rsid w:val="00982BA4"/>
    <w:rsid w:val="00987468"/>
    <w:rsid w:val="009E2946"/>
    <w:rsid w:val="00A0730D"/>
    <w:rsid w:val="00A15F1A"/>
    <w:rsid w:val="00A97FD4"/>
    <w:rsid w:val="00AB6366"/>
    <w:rsid w:val="00C37E48"/>
    <w:rsid w:val="00C931DC"/>
    <w:rsid w:val="00C96892"/>
    <w:rsid w:val="00CB493E"/>
    <w:rsid w:val="00CE4684"/>
    <w:rsid w:val="00CF5569"/>
    <w:rsid w:val="00DE78CE"/>
    <w:rsid w:val="00E5295C"/>
    <w:rsid w:val="00E700B2"/>
    <w:rsid w:val="00F82C70"/>
    <w:rsid w:val="00FF1D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468"/>
  </w:style>
  <w:style w:type="paragraph" w:styleId="1">
    <w:name w:val="heading 1"/>
    <w:basedOn w:val="a"/>
    <w:next w:val="a"/>
    <w:rsid w:val="0098746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98746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98746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98746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987468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98746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8746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98746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rsid w:val="0098746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rsid w:val="0098746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rsid w:val="0098746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rsid w:val="0098746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rsid w:val="0098746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rsid w:val="0098746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rsid w:val="0098746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rsid w:val="0098746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f">
    <w:name w:val="header"/>
    <w:basedOn w:val="a"/>
    <w:link w:val="af0"/>
    <w:uiPriority w:val="99"/>
    <w:semiHidden/>
    <w:unhideWhenUsed/>
    <w:rsid w:val="00C37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C37E48"/>
  </w:style>
  <w:style w:type="paragraph" w:styleId="af1">
    <w:name w:val="footer"/>
    <w:basedOn w:val="a"/>
    <w:link w:val="af2"/>
    <w:uiPriority w:val="99"/>
    <w:unhideWhenUsed/>
    <w:rsid w:val="00C37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37E48"/>
  </w:style>
  <w:style w:type="paragraph" w:customStyle="1" w:styleId="af3">
    <w:name w:val="a"/>
    <w:basedOn w:val="a"/>
    <w:uiPriority w:val="99"/>
    <w:rsid w:val="00CE4684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af4">
    <w:name w:val="No Spacing"/>
    <w:link w:val="af5"/>
    <w:uiPriority w:val="99"/>
    <w:qFormat/>
    <w:rsid w:val="00824882"/>
    <w:pPr>
      <w:spacing w:after="200" w:line="276" w:lineRule="auto"/>
    </w:pPr>
    <w:rPr>
      <w:rFonts w:eastAsia="Times New Roman" w:cs="Times New Roman"/>
    </w:rPr>
  </w:style>
  <w:style w:type="character" w:customStyle="1" w:styleId="af5">
    <w:name w:val="Без интервала Знак"/>
    <w:link w:val="af4"/>
    <w:uiPriority w:val="99"/>
    <w:locked/>
    <w:rsid w:val="00824882"/>
    <w:rPr>
      <w:rFonts w:eastAsia="Times New Roman" w:cs="Times New Roman"/>
    </w:rPr>
  </w:style>
  <w:style w:type="table" w:styleId="af6">
    <w:name w:val="Table Grid"/>
    <w:basedOn w:val="a1"/>
    <w:uiPriority w:val="59"/>
    <w:rsid w:val="002B71B3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Нормальний текст"/>
    <w:basedOn w:val="a"/>
    <w:rsid w:val="002B71B3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af8">
    <w:name w:val="Содержимое таблицы"/>
    <w:basedOn w:val="a"/>
    <w:rsid w:val="006A22D2"/>
    <w:pPr>
      <w:suppressLineNumbers/>
      <w:suppressAutoHyphens/>
      <w:spacing w:after="200" w:line="276" w:lineRule="auto"/>
    </w:pPr>
    <w:rPr>
      <w:rFonts w:eastAsia="SimSun" w:cs="font187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CnBnaeyuPAuMXC5XyLMhmRdj1g==">AMUW2mWx5FcFtDonIkwVSHO4SpoDVr0dMuhTYH3o5PUb61ee821F8EHvmtP+ejywVAJhJfz6jYakhl3TtLU+2xQDf+rfo5XUciABQHAW+wGuNdPlxLJ/sKT9qgFzmuT0SR4e+EKgQuYZPoGGQYI/tbS7wa35HF/l0dxfcKyUVTgMEYGr2+NIvPWU88Sp1HVFtgWnratVDQhLRH5R+JkVbZspw7nprJNU5w==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2545</Words>
  <Characters>14513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Admin</cp:lastModifiedBy>
  <cp:revision>21</cp:revision>
  <cp:lastPrinted>2023-11-22T12:07:00Z</cp:lastPrinted>
  <dcterms:created xsi:type="dcterms:W3CDTF">2022-11-11T12:53:00Z</dcterms:created>
  <dcterms:modified xsi:type="dcterms:W3CDTF">2023-11-22T12:07:00Z</dcterms:modified>
</cp:coreProperties>
</file>