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36"/>
          <w:szCs w:val="36"/>
        </w:rPr>
      </w:pPr>
      <w:r>
        <w:rPr>
          <w:b/>
          <w:bCs/>
          <w:sz w:val="36"/>
          <w:szCs w:val="36"/>
        </w:rPr>
        <w:t>Головне управління Пенсійного фонду України</w:t>
      </w:r>
    </w:p>
    <w:p>
      <w:pPr>
        <w:pStyle w:val="Normal"/>
        <w:jc w:val="center"/>
        <w:rPr>
          <w:b/>
          <w:b/>
          <w:bCs/>
          <w:sz w:val="38"/>
          <w:szCs w:val="38"/>
        </w:rPr>
      </w:pPr>
      <w:r>
        <w:rPr>
          <w:b/>
          <w:bCs/>
          <w:sz w:val="36"/>
          <w:szCs w:val="36"/>
        </w:rPr>
        <w:t>в Чернівецькій області</w:t>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jc w:val="center"/>
        <w:rPr>
          <w:rFonts w:eastAsia="Times New Roman"/>
          <w:b/>
          <w:b/>
          <w:color w:val="000000"/>
          <w:sz w:val="36"/>
          <w:szCs w:val="36"/>
        </w:rPr>
      </w:pPr>
      <w:r>
        <w:rPr>
          <w:rFonts w:eastAsia="Times New Roman"/>
          <w:b/>
          <w:color w:val="000000"/>
          <w:sz w:val="36"/>
          <w:szCs w:val="36"/>
        </w:rPr>
      </w:r>
    </w:p>
    <w:p>
      <w:pPr>
        <w:pStyle w:val="Normal"/>
        <w:spacing w:lineRule="atLeast" w:line="23"/>
        <w:ind w:firstLine="5103"/>
        <w:rPr>
          <w:rFonts w:eastAsia="Times New Roman"/>
          <w:b/>
          <w:b/>
          <w:color w:val="000000"/>
          <w:szCs w:val="24"/>
        </w:rPr>
      </w:pPr>
      <w:r>
        <w:rPr>
          <w:sz w:val="32"/>
          <w:szCs w:val="32"/>
        </w:rPr>
        <w:t>ЗАТВЕРДЖЕНО</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Рішенням уповноваженої особи</w:t>
      </w:r>
    </w:p>
    <w:p>
      <w:pPr>
        <w:pStyle w:val="Normal"/>
        <w:spacing w:lineRule="atLeast" w:line="23"/>
        <w:ind w:firstLine="5103"/>
        <w:rPr>
          <w:rFonts w:eastAsia="Times New Roman"/>
          <w:b/>
          <w:b/>
          <w:color w:val="000000"/>
          <w:szCs w:val="24"/>
        </w:rPr>
      </w:pPr>
      <w:r>
        <w:rPr>
          <w:sz w:val="32"/>
          <w:szCs w:val="32"/>
        </w:rPr>
        <w:t xml:space="preserve">від </w:t>
      </w:r>
      <w:r>
        <w:rPr>
          <w:sz w:val="32"/>
          <w:szCs w:val="32"/>
        </w:rPr>
        <w:t>0</w:t>
      </w:r>
      <w:r>
        <w:rPr>
          <w:sz w:val="32"/>
          <w:szCs w:val="32"/>
        </w:rPr>
        <w:t xml:space="preserve">6 </w:t>
      </w:r>
      <w:r>
        <w:rPr>
          <w:sz w:val="32"/>
          <w:szCs w:val="32"/>
        </w:rPr>
        <w:t>листопада</w:t>
      </w:r>
      <w:r>
        <w:rPr>
          <w:sz w:val="32"/>
          <w:szCs w:val="32"/>
        </w:rPr>
        <w:t xml:space="preserve"> 2023 року</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Уповноважена особа</w:t>
      </w:r>
    </w:p>
    <w:p>
      <w:pPr>
        <w:pStyle w:val="Normal"/>
        <w:spacing w:lineRule="atLeast" w:line="23"/>
        <w:ind w:firstLine="5103"/>
        <w:rPr>
          <w:rFonts w:eastAsia="Times New Roman"/>
          <w:b/>
          <w:b/>
          <w:color w:val="000000"/>
          <w:szCs w:val="24"/>
        </w:rPr>
      </w:pPr>
      <w:r>
        <w:rPr>
          <w:rFonts w:eastAsia="Times New Roman"/>
          <w:b/>
          <w:color w:val="000000"/>
          <w:szCs w:val="24"/>
        </w:rPr>
      </w:r>
    </w:p>
    <w:p>
      <w:pPr>
        <w:pStyle w:val="Normal"/>
        <w:spacing w:lineRule="atLeast" w:line="23"/>
        <w:ind w:firstLine="5103"/>
        <w:rPr>
          <w:rFonts w:eastAsia="Times New Roman"/>
          <w:b/>
          <w:b/>
          <w:color w:val="000000"/>
          <w:szCs w:val="24"/>
        </w:rPr>
      </w:pPr>
      <w:r>
        <w:rPr>
          <w:sz w:val="32"/>
          <w:szCs w:val="32"/>
        </w:rPr>
        <w:t xml:space="preserve">___________ </w:t>
      </w:r>
      <w:r>
        <w:rPr>
          <w:b/>
          <w:sz w:val="32"/>
          <w:szCs w:val="32"/>
        </w:rPr>
        <w:t>Сергій СОБОЛЄВ</w:t>
      </w:r>
    </w:p>
    <w:p>
      <w:pPr>
        <w:pStyle w:val="Normal"/>
        <w:ind w:left="320" w:hanging="0"/>
        <w:rPr>
          <w:sz w:val="28"/>
          <w:szCs w:val="28"/>
        </w:rPr>
      </w:pPr>
      <w:r>
        <w:rPr>
          <w:sz w:val="28"/>
          <w:szCs w:val="28"/>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6"/>
        <w:spacing w:before="20" w:after="0"/>
        <w:ind w:right="-25" w:hanging="0"/>
        <w:rPr>
          <w:sz w:val="36"/>
          <w:szCs w:val="36"/>
        </w:rPr>
      </w:pPr>
      <w:r>
        <w:rPr>
          <w:sz w:val="36"/>
          <w:szCs w:val="36"/>
        </w:rPr>
        <w:t xml:space="preserve">ТЕНДЕРНА ДОКУМЕНТАЦІЯ </w:t>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Style30"/>
        <w:spacing w:before="20" w:after="0"/>
        <w:ind w:left="0" w:right="-25" w:hanging="0"/>
        <w:rPr>
          <w:rFonts w:ascii="Times New Roman" w:hAnsi="Times New Roman"/>
          <w:sz w:val="23"/>
          <w:szCs w:val="23"/>
        </w:rPr>
      </w:pPr>
      <w:r>
        <w:rPr>
          <w:rFonts w:ascii="Times New Roman" w:hAnsi="Times New Roman"/>
          <w:sz w:val="23"/>
          <w:szCs w:val="23"/>
        </w:rPr>
      </w:r>
    </w:p>
    <w:p>
      <w:pPr>
        <w:pStyle w:val="Normal"/>
        <w:jc w:val="center"/>
        <w:rPr>
          <w:sz w:val="32"/>
          <w:szCs w:val="32"/>
        </w:rPr>
      </w:pPr>
      <w:r>
        <w:rPr>
          <w:b/>
          <w:bCs/>
          <w:sz w:val="32"/>
          <w:szCs w:val="32"/>
        </w:rPr>
        <w:t>ЩОДО ПРОВЕДЕННЯ</w:t>
      </w:r>
    </w:p>
    <w:p>
      <w:pPr>
        <w:pStyle w:val="Normal"/>
        <w:jc w:val="center"/>
        <w:rPr>
          <w:sz w:val="32"/>
          <w:szCs w:val="32"/>
        </w:rPr>
      </w:pPr>
      <w:r>
        <w:rPr>
          <w:b/>
          <w:bCs/>
          <w:sz w:val="32"/>
          <w:szCs w:val="32"/>
        </w:rPr>
        <w:t>ВІДКРИТИХ ТОРГІВ ЗА ПРЕДМЕТОМ ЗАКУПІВЛІ</w:t>
      </w:r>
    </w:p>
    <w:p>
      <w:pPr>
        <w:pStyle w:val="Normal"/>
        <w:jc w:val="center"/>
        <w:rPr>
          <w:b/>
          <w:b/>
          <w:bCs/>
        </w:rPr>
      </w:pPr>
      <w:r>
        <w:rPr>
          <w:b/>
          <w:bCs/>
        </w:rPr>
      </w:r>
    </w:p>
    <w:p>
      <w:pPr>
        <w:pStyle w:val="Normal"/>
        <w:jc w:val="center"/>
        <w:rPr>
          <w:b/>
          <w:b/>
          <w:bCs/>
          <w:sz w:val="16"/>
          <w:szCs w:val="16"/>
        </w:rPr>
      </w:pPr>
      <w:r>
        <w:rPr>
          <w:b/>
          <w:bCs/>
          <w:sz w:val="16"/>
          <w:szCs w:val="16"/>
        </w:rPr>
      </w:r>
    </w:p>
    <w:p>
      <w:pPr>
        <w:pStyle w:val="Normal"/>
        <w:spacing w:lineRule="atLeast" w:line="23"/>
        <w:jc w:val="center"/>
        <w:rPr>
          <w:sz w:val="36"/>
          <w:szCs w:val="36"/>
          <w:lang w:eastAsia="uk-UA"/>
        </w:rPr>
      </w:pPr>
      <w:r>
        <w:rPr>
          <w:sz w:val="36"/>
          <w:szCs w:val="36"/>
          <w:lang w:eastAsia="uk-UA"/>
        </w:rPr>
        <w:t xml:space="preserve">Сервери – Мережеве сховище, </w:t>
      </w:r>
    </w:p>
    <w:p>
      <w:pPr>
        <w:pStyle w:val="Normal"/>
        <w:spacing w:lineRule="atLeast" w:line="23"/>
        <w:jc w:val="center"/>
        <w:rPr>
          <w:rFonts w:eastAsia="Times New Roman"/>
          <w:sz w:val="36"/>
          <w:szCs w:val="36"/>
          <w:lang w:eastAsia="uk-UA"/>
        </w:rPr>
      </w:pPr>
      <w:r>
        <w:rPr>
          <w:rFonts w:eastAsia="Times New Roman"/>
          <w:sz w:val="36"/>
          <w:szCs w:val="36"/>
          <w:lang w:eastAsia="uk-UA"/>
        </w:rPr>
        <w:t>код за ДК 021:2015 – 4882</w:t>
      </w:r>
      <w:r>
        <w:rPr>
          <w:bCs/>
          <w:sz w:val="36"/>
          <w:szCs w:val="36"/>
          <w:lang w:eastAsia="uk-UA"/>
        </w:rPr>
        <w:t>0000-2</w:t>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numPr>
          <w:ilvl w:val="0"/>
          <w:numId w:val="0"/>
        </w:numPr>
        <w:ind w:right="-25" w:hanging="0"/>
        <w:jc w:val="center"/>
        <w:outlineLvl w:val="0"/>
        <w:rPr>
          <w:b/>
          <w:b/>
          <w:bCs/>
          <w:sz w:val="28"/>
          <w:szCs w:val="28"/>
        </w:rPr>
      </w:pPr>
      <w:r>
        <w:rPr>
          <w:b/>
          <w:bCs/>
          <w:sz w:val="28"/>
          <w:szCs w:val="28"/>
        </w:rPr>
      </w:r>
    </w:p>
    <w:p>
      <w:pPr>
        <w:pStyle w:val="Normal"/>
        <w:jc w:val="center"/>
        <w:rPr>
          <w:bCs/>
          <w:sz w:val="28"/>
          <w:szCs w:val="28"/>
        </w:rPr>
      </w:pPr>
      <w:r>
        <w:rPr>
          <w:bCs/>
          <w:sz w:val="28"/>
          <w:szCs w:val="28"/>
        </w:rPr>
        <w:t>м. Чернівці</w:t>
      </w:r>
    </w:p>
    <w:p>
      <w:pPr>
        <w:pStyle w:val="Normal"/>
        <w:jc w:val="center"/>
        <w:rPr>
          <w:bCs/>
          <w:sz w:val="28"/>
          <w:szCs w:val="28"/>
        </w:rPr>
      </w:pPr>
      <w:r>
        <w:rPr>
          <w:bCs/>
          <w:sz w:val="28"/>
          <w:szCs w:val="28"/>
        </w:rPr>
        <w:t>2023</w:t>
      </w:r>
    </w:p>
    <w:p>
      <w:pPr>
        <w:pStyle w:val="Normal"/>
        <w:jc w:val="center"/>
        <w:rPr>
          <w:bCs/>
          <w:sz w:val="16"/>
          <w:szCs w:val="16"/>
        </w:rPr>
      </w:pPr>
      <w:r>
        <w:rPr>
          <w:bCs/>
          <w:sz w:val="16"/>
          <w:szCs w:val="16"/>
        </w:rPr>
      </w:r>
      <w:r>
        <w:br w:type="page"/>
      </w:r>
    </w:p>
    <w:p>
      <w:pPr>
        <w:pStyle w:val="Normal"/>
        <w:jc w:val="center"/>
        <w:rPr>
          <w:b/>
          <w:b/>
          <w:bCs/>
          <w:sz w:val="28"/>
          <w:szCs w:val="28"/>
        </w:rPr>
      </w:pPr>
      <w:r>
        <w:rPr>
          <w:b/>
          <w:bCs/>
          <w:sz w:val="28"/>
          <w:szCs w:val="28"/>
        </w:rPr>
        <w:t>ЗМІСТ</w:t>
      </w:r>
    </w:p>
    <w:p>
      <w:pPr>
        <w:pStyle w:val="Normal"/>
        <w:numPr>
          <w:ilvl w:val="0"/>
          <w:numId w:val="0"/>
        </w:numPr>
        <w:ind w:left="180" w:right="-25" w:hanging="0"/>
        <w:jc w:val="center"/>
        <w:outlineLvl w:val="0"/>
        <w:rPr>
          <w:b/>
          <w:b/>
          <w:bCs/>
          <w:sz w:val="25"/>
          <w:szCs w:val="25"/>
        </w:rPr>
      </w:pPr>
      <w:r>
        <w:rPr>
          <w:b/>
          <w:bCs/>
          <w:sz w:val="25"/>
          <w:szCs w:val="25"/>
        </w:rPr>
        <w:t xml:space="preserve">тендерної документації </w:t>
      </w:r>
    </w:p>
    <w:p>
      <w:pPr>
        <w:pStyle w:val="Normal"/>
        <w:numPr>
          <w:ilvl w:val="0"/>
          <w:numId w:val="0"/>
        </w:numPr>
        <w:ind w:left="360" w:right="-25" w:hanging="180"/>
        <w:jc w:val="both"/>
        <w:outlineLvl w:val="0"/>
        <w:rPr>
          <w:b/>
          <w:b/>
          <w:bCs/>
          <w:sz w:val="16"/>
          <w:szCs w:val="16"/>
        </w:rPr>
      </w:pPr>
      <w:r>
        <w:rPr>
          <w:b/>
          <w:bCs/>
          <w:sz w:val="16"/>
          <w:szCs w:val="16"/>
        </w:rPr>
      </w:r>
    </w:p>
    <w:p>
      <w:pPr>
        <w:pStyle w:val="Normal"/>
        <w:numPr>
          <w:ilvl w:val="0"/>
          <w:numId w:val="0"/>
        </w:numPr>
        <w:spacing w:before="80" w:after="0"/>
        <w:ind w:right="-23" w:firstLine="567"/>
        <w:outlineLvl w:val="0"/>
        <w:rPr>
          <w:b/>
          <w:b/>
          <w:bCs/>
          <w:sz w:val="24"/>
          <w:szCs w:val="24"/>
        </w:rPr>
      </w:pPr>
      <w:r>
        <w:rPr>
          <w:b/>
          <w:bCs/>
          <w:sz w:val="24"/>
          <w:szCs w:val="24"/>
        </w:rPr>
        <w:t>Розділ І. Загальні положення</w:t>
      </w:r>
    </w:p>
    <w:p>
      <w:pPr>
        <w:pStyle w:val="Normal"/>
        <w:numPr>
          <w:ilvl w:val="0"/>
          <w:numId w:val="0"/>
        </w:numPr>
        <w:ind w:right="-25" w:firstLine="567"/>
        <w:jc w:val="both"/>
        <w:outlineLvl w:val="0"/>
        <w:rPr>
          <w:sz w:val="24"/>
          <w:szCs w:val="24"/>
        </w:rPr>
      </w:pPr>
      <w:r>
        <w:rPr>
          <w:sz w:val="24"/>
          <w:szCs w:val="24"/>
        </w:rPr>
        <w:t xml:space="preserve">1. Терміни, які вживаються в тендерній документації </w:t>
      </w:r>
    </w:p>
    <w:p>
      <w:pPr>
        <w:pStyle w:val="Normal"/>
        <w:numPr>
          <w:ilvl w:val="0"/>
          <w:numId w:val="0"/>
        </w:numPr>
        <w:ind w:right="-25" w:firstLine="567"/>
        <w:jc w:val="both"/>
        <w:outlineLvl w:val="0"/>
        <w:rPr>
          <w:sz w:val="24"/>
          <w:szCs w:val="24"/>
        </w:rPr>
      </w:pPr>
      <w:r>
        <w:rPr>
          <w:sz w:val="24"/>
          <w:szCs w:val="24"/>
        </w:rPr>
        <w:t>2. Інформація про замовника торгів</w:t>
      </w:r>
    </w:p>
    <w:p>
      <w:pPr>
        <w:pStyle w:val="Normal"/>
        <w:numPr>
          <w:ilvl w:val="0"/>
          <w:numId w:val="0"/>
        </w:numPr>
        <w:ind w:right="-25" w:firstLine="567"/>
        <w:jc w:val="both"/>
        <w:outlineLvl w:val="0"/>
        <w:rPr>
          <w:sz w:val="24"/>
          <w:szCs w:val="24"/>
        </w:rPr>
      </w:pPr>
      <w:r>
        <w:rPr>
          <w:sz w:val="24"/>
          <w:szCs w:val="24"/>
        </w:rPr>
        <w:t xml:space="preserve">3. Процедура закупівлі </w:t>
      </w:r>
    </w:p>
    <w:p>
      <w:pPr>
        <w:pStyle w:val="Normal"/>
        <w:numPr>
          <w:ilvl w:val="0"/>
          <w:numId w:val="0"/>
        </w:numPr>
        <w:ind w:right="-25" w:firstLine="567"/>
        <w:jc w:val="both"/>
        <w:outlineLvl w:val="0"/>
        <w:rPr>
          <w:sz w:val="24"/>
          <w:szCs w:val="24"/>
        </w:rPr>
      </w:pPr>
      <w:r>
        <w:rPr>
          <w:sz w:val="24"/>
          <w:szCs w:val="24"/>
        </w:rPr>
        <w:t>4. Інформація про предмет закупівлі</w:t>
      </w:r>
    </w:p>
    <w:p>
      <w:pPr>
        <w:pStyle w:val="Normal"/>
        <w:numPr>
          <w:ilvl w:val="0"/>
          <w:numId w:val="0"/>
        </w:numPr>
        <w:ind w:right="-25" w:firstLine="567"/>
        <w:jc w:val="both"/>
        <w:outlineLvl w:val="0"/>
        <w:rPr>
          <w:sz w:val="24"/>
          <w:szCs w:val="24"/>
        </w:rPr>
      </w:pPr>
      <w:r>
        <w:rPr>
          <w:sz w:val="24"/>
          <w:szCs w:val="24"/>
        </w:rPr>
        <w:t>5. Недискримінація учасників</w:t>
      </w:r>
    </w:p>
    <w:p>
      <w:pPr>
        <w:pStyle w:val="Normal"/>
        <w:numPr>
          <w:ilvl w:val="0"/>
          <w:numId w:val="0"/>
        </w:num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pPr>
        <w:pStyle w:val="Normal"/>
        <w:numPr>
          <w:ilvl w:val="0"/>
          <w:numId w:val="0"/>
        </w:num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right="-23" w:firstLine="567"/>
        <w:jc w:val="both"/>
        <w:outlineLvl w:val="0"/>
        <w:rPr>
          <w:b/>
          <w:b/>
          <w:bCs/>
          <w:sz w:val="24"/>
          <w:szCs w:val="24"/>
        </w:rPr>
      </w:pPr>
      <w:r>
        <w:rPr>
          <w:b/>
          <w:bCs/>
          <w:sz w:val="24"/>
          <w:szCs w:val="24"/>
        </w:rPr>
        <w:t>Розділ ІІ. Порядок унесення змін та надання роз’яснень до тендерної документації</w:t>
      </w:r>
    </w:p>
    <w:p>
      <w:pPr>
        <w:pStyle w:val="Normal"/>
        <w:ind w:firstLine="567"/>
        <w:jc w:val="both"/>
        <w:rPr>
          <w:sz w:val="24"/>
          <w:szCs w:val="24"/>
        </w:rPr>
      </w:pPr>
      <w:r>
        <w:rPr>
          <w:sz w:val="24"/>
          <w:szCs w:val="24"/>
        </w:rPr>
        <w:t>1. Процедура надання роз’яснень щодо тендерної документації</w:t>
      </w:r>
    </w:p>
    <w:p>
      <w:pPr>
        <w:pStyle w:val="Normal"/>
        <w:ind w:firstLine="567"/>
        <w:jc w:val="both"/>
        <w:rPr>
          <w:sz w:val="24"/>
          <w:szCs w:val="24"/>
        </w:rPr>
      </w:pPr>
      <w:r>
        <w:rPr>
          <w:sz w:val="24"/>
          <w:szCs w:val="24"/>
        </w:rPr>
        <w:t>2. Унесення змін до тендерної документації</w:t>
      </w:r>
    </w:p>
    <w:p>
      <w:pPr>
        <w:pStyle w:val="Normal"/>
        <w:tabs>
          <w:tab w:val="clear" w:pos="709"/>
          <w:tab w:val="left" w:pos="360" w:leader="none"/>
        </w:tabs>
        <w:spacing w:before="80" w:after="0"/>
        <w:ind w:firstLine="567"/>
        <w:jc w:val="both"/>
        <w:rPr>
          <w:b/>
          <w:b/>
          <w:bCs/>
          <w:sz w:val="24"/>
          <w:szCs w:val="24"/>
        </w:rPr>
      </w:pPr>
      <w:r>
        <w:rPr>
          <w:b/>
          <w:bCs/>
          <w:sz w:val="24"/>
          <w:szCs w:val="24"/>
        </w:rPr>
        <w:t>Розділ ІІІ. Інструкція з підготовки тендерної пропозиції</w:t>
      </w:r>
    </w:p>
    <w:p>
      <w:pPr>
        <w:pStyle w:val="Normal"/>
        <w:ind w:right="-52" w:firstLine="567"/>
        <w:jc w:val="both"/>
        <w:rPr>
          <w:sz w:val="24"/>
          <w:szCs w:val="24"/>
        </w:rPr>
      </w:pPr>
      <w:r>
        <w:rPr>
          <w:sz w:val="24"/>
          <w:szCs w:val="24"/>
        </w:rPr>
        <w:t xml:space="preserve">1. Зміст та спосіб подання тендерної пропозиції </w:t>
      </w:r>
    </w:p>
    <w:p>
      <w:pPr>
        <w:pStyle w:val="Normal"/>
        <w:ind w:right="-52" w:firstLine="567"/>
        <w:jc w:val="both"/>
        <w:rPr>
          <w:sz w:val="24"/>
          <w:szCs w:val="24"/>
        </w:rPr>
      </w:pPr>
      <w:r>
        <w:rPr>
          <w:sz w:val="24"/>
          <w:szCs w:val="24"/>
        </w:rPr>
        <w:t>2. Розмір та умови надання забезпечення тендерної пропозиції</w:t>
      </w:r>
    </w:p>
    <w:p>
      <w:pPr>
        <w:pStyle w:val="Normal"/>
        <w:ind w:right="-52" w:firstLine="567"/>
        <w:jc w:val="both"/>
        <w:rPr>
          <w:sz w:val="24"/>
          <w:szCs w:val="24"/>
        </w:rPr>
      </w:pPr>
      <w:r>
        <w:rPr>
          <w:sz w:val="24"/>
          <w:szCs w:val="24"/>
        </w:rPr>
        <w:t>3. Умови повернення чи неповернення забезпечення тендерної пропозиції</w:t>
      </w:r>
    </w:p>
    <w:p>
      <w:pPr>
        <w:pStyle w:val="Normal"/>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pPr>
        <w:pStyle w:val="Normal"/>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Normal"/>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pPr>
        <w:pStyle w:val="Normal"/>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pPr>
        <w:pStyle w:val="Normal"/>
        <w:ind w:firstLine="567"/>
        <w:jc w:val="both"/>
        <w:rPr>
          <w:sz w:val="24"/>
          <w:szCs w:val="24"/>
        </w:rPr>
      </w:pPr>
      <w:r>
        <w:rPr>
          <w:bCs/>
          <w:sz w:val="24"/>
          <w:szCs w:val="24"/>
          <w:lang w:eastAsia="uk-UA"/>
        </w:rPr>
        <w:t>9. Унесення змін або відкликання тендерної пропозиції учасником</w:t>
      </w:r>
    </w:p>
    <w:p>
      <w:pPr>
        <w:pStyle w:val="Normal"/>
        <w:spacing w:before="80" w:after="0"/>
        <w:ind w:firstLine="567"/>
        <w:jc w:val="both"/>
        <w:rPr>
          <w:b/>
          <w:b/>
          <w:bCs/>
          <w:sz w:val="24"/>
          <w:szCs w:val="24"/>
        </w:rPr>
      </w:pPr>
      <w:r>
        <w:rPr>
          <w:b/>
          <w:bCs/>
          <w:sz w:val="24"/>
          <w:szCs w:val="24"/>
        </w:rPr>
        <w:t xml:space="preserve">Розділ IV. Подання та розкриття тендерної пропозиції </w:t>
      </w:r>
    </w:p>
    <w:p>
      <w:pPr>
        <w:pStyle w:val="Normal"/>
        <w:ind w:firstLine="567"/>
        <w:jc w:val="both"/>
        <w:rPr>
          <w:sz w:val="24"/>
          <w:szCs w:val="24"/>
        </w:rPr>
      </w:pPr>
      <w:r>
        <w:rPr>
          <w:sz w:val="24"/>
          <w:szCs w:val="24"/>
        </w:rPr>
        <w:t>1. Кінцевий строк подання тендерної пропозиції</w:t>
      </w:r>
    </w:p>
    <w:p>
      <w:pPr>
        <w:pStyle w:val="Normal"/>
        <w:ind w:firstLine="567"/>
        <w:jc w:val="both"/>
        <w:rPr>
          <w:sz w:val="24"/>
          <w:szCs w:val="24"/>
        </w:rPr>
      </w:pPr>
      <w:r>
        <w:rPr>
          <w:sz w:val="24"/>
          <w:szCs w:val="24"/>
        </w:rPr>
        <w:t>2. Дата та час розкриття тендерної пропозиції</w:t>
      </w:r>
    </w:p>
    <w:p>
      <w:pPr>
        <w:pStyle w:val="Normal"/>
        <w:spacing w:before="80" w:after="0"/>
        <w:ind w:firstLine="567"/>
        <w:jc w:val="both"/>
        <w:rPr>
          <w:b/>
          <w:b/>
          <w:bCs/>
          <w:sz w:val="24"/>
          <w:szCs w:val="24"/>
        </w:rPr>
      </w:pPr>
      <w:r>
        <w:rPr>
          <w:b/>
          <w:bCs/>
          <w:sz w:val="24"/>
          <w:szCs w:val="24"/>
        </w:rPr>
        <w:t>Розділ V. Оцінка тендерної пропозиції</w:t>
      </w:r>
    </w:p>
    <w:p>
      <w:pPr>
        <w:pStyle w:val="Normal"/>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pPr>
        <w:pStyle w:val="Normal"/>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pStyle w:val="Normal"/>
        <w:ind w:firstLine="567"/>
        <w:jc w:val="both"/>
        <w:rPr>
          <w:sz w:val="24"/>
          <w:szCs w:val="24"/>
        </w:rPr>
      </w:pPr>
      <w:r>
        <w:rPr>
          <w:sz w:val="24"/>
          <w:szCs w:val="24"/>
        </w:rPr>
        <w:t>3. Інша інформація</w:t>
      </w:r>
    </w:p>
    <w:p>
      <w:pPr>
        <w:pStyle w:val="Normal"/>
        <w:ind w:firstLine="567"/>
        <w:jc w:val="both"/>
        <w:rPr>
          <w:sz w:val="24"/>
          <w:szCs w:val="24"/>
        </w:rPr>
      </w:pPr>
      <w:r>
        <w:rPr>
          <w:sz w:val="24"/>
          <w:szCs w:val="24"/>
        </w:rPr>
        <w:t>4. Відхилення тендерних пропозицій</w:t>
      </w:r>
    </w:p>
    <w:p>
      <w:pPr>
        <w:pStyle w:val="Normal"/>
        <w:spacing w:before="80" w:after="0"/>
        <w:ind w:firstLine="567"/>
        <w:jc w:val="both"/>
        <w:rPr>
          <w:b/>
          <w:b/>
          <w:bCs/>
          <w:sz w:val="24"/>
          <w:szCs w:val="24"/>
        </w:rPr>
      </w:pPr>
      <w:r>
        <w:rPr>
          <w:b/>
          <w:bCs/>
          <w:sz w:val="24"/>
          <w:szCs w:val="24"/>
        </w:rPr>
        <w:t>Розділ VI. Результати торгів та укладання договору про закупівлю</w:t>
      </w:r>
    </w:p>
    <w:p>
      <w:pPr>
        <w:pStyle w:val="Normal"/>
        <w:ind w:firstLine="567"/>
        <w:jc w:val="both"/>
        <w:rPr>
          <w:sz w:val="24"/>
          <w:szCs w:val="24"/>
        </w:rPr>
      </w:pPr>
      <w:r>
        <w:rPr>
          <w:sz w:val="24"/>
          <w:szCs w:val="24"/>
        </w:rPr>
        <w:t>1. Відміна відкритих торгів</w:t>
      </w:r>
    </w:p>
    <w:p>
      <w:pPr>
        <w:pStyle w:val="Normal"/>
        <w:ind w:firstLine="567"/>
        <w:jc w:val="both"/>
        <w:rPr>
          <w:sz w:val="24"/>
          <w:szCs w:val="24"/>
        </w:rPr>
      </w:pPr>
      <w:r>
        <w:rPr>
          <w:sz w:val="24"/>
          <w:szCs w:val="24"/>
        </w:rPr>
        <w:t>2. Строк укладання договору</w:t>
      </w:r>
    </w:p>
    <w:p>
      <w:pPr>
        <w:pStyle w:val="Normal"/>
        <w:ind w:firstLine="567"/>
        <w:jc w:val="both"/>
        <w:rPr>
          <w:sz w:val="24"/>
          <w:szCs w:val="24"/>
        </w:rPr>
      </w:pPr>
      <w:r>
        <w:rPr>
          <w:sz w:val="24"/>
          <w:szCs w:val="24"/>
        </w:rPr>
        <w:t>3. Проєкт договору про закупівлю</w:t>
      </w:r>
    </w:p>
    <w:p>
      <w:pPr>
        <w:pStyle w:val="Normal"/>
        <w:ind w:firstLine="567"/>
        <w:jc w:val="both"/>
        <w:rPr>
          <w:sz w:val="24"/>
          <w:szCs w:val="24"/>
        </w:rPr>
      </w:pPr>
      <w:r>
        <w:rPr>
          <w:sz w:val="24"/>
          <w:szCs w:val="24"/>
        </w:rPr>
        <w:t>4. Істотні умови, що обов’язково включаються до договору про закупівлю</w:t>
      </w:r>
    </w:p>
    <w:p>
      <w:pPr>
        <w:pStyle w:val="Normal"/>
        <w:ind w:firstLine="567"/>
        <w:jc w:val="both"/>
        <w:rPr>
          <w:sz w:val="24"/>
          <w:szCs w:val="24"/>
        </w:rPr>
      </w:pPr>
      <w:r>
        <w:rPr>
          <w:sz w:val="24"/>
          <w:szCs w:val="24"/>
        </w:rPr>
        <w:t>5. Дії замовника при відмові переможця торгів підписати договір про закупівлю</w:t>
      </w:r>
    </w:p>
    <w:p>
      <w:pPr>
        <w:pStyle w:val="Normal"/>
        <w:ind w:firstLine="567"/>
        <w:jc w:val="both"/>
        <w:rPr>
          <w:sz w:val="24"/>
          <w:szCs w:val="24"/>
        </w:rPr>
      </w:pPr>
      <w:r>
        <w:rPr>
          <w:sz w:val="24"/>
          <w:szCs w:val="24"/>
        </w:rPr>
        <w:t>6. Забезпечення виконання договору про закупівлю</w:t>
      </w:r>
    </w:p>
    <w:p>
      <w:pPr>
        <w:pStyle w:val="Normal"/>
        <w:ind w:firstLine="567"/>
        <w:jc w:val="both"/>
        <w:rPr>
          <w:sz w:val="24"/>
          <w:szCs w:val="24"/>
        </w:rPr>
      </w:pPr>
      <w:r>
        <w:rPr>
          <w:sz w:val="24"/>
          <w:szCs w:val="24"/>
        </w:rPr>
      </w:r>
    </w:p>
    <w:p>
      <w:pPr>
        <w:pStyle w:val="Normal"/>
        <w:tabs>
          <w:tab w:val="clear" w:pos="709"/>
          <w:tab w:val="left" w:pos="0" w:leader="none"/>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pPr>
        <w:pStyle w:val="Normal"/>
        <w:tabs>
          <w:tab w:val="clear" w:pos="709"/>
          <w:tab w:val="left" w:pos="0" w:leader="none"/>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pPr>
        <w:pStyle w:val="Normal"/>
        <w:tabs>
          <w:tab w:val="clear" w:pos="709"/>
          <w:tab w:val="left" w:pos="0" w:leader="none"/>
        </w:tabs>
        <w:ind w:firstLine="567"/>
        <w:jc w:val="both"/>
        <w:rPr>
          <w:b/>
          <w:b/>
          <w:bCs/>
          <w:sz w:val="24"/>
          <w:szCs w:val="24"/>
        </w:rPr>
      </w:pPr>
      <w:r>
        <w:rPr>
          <w:b/>
          <w:bCs/>
          <w:sz w:val="24"/>
          <w:szCs w:val="24"/>
        </w:rPr>
        <w:t xml:space="preserve">ДОДАТОК 3. </w:t>
      </w:r>
      <w:r>
        <w:rPr>
          <w:bCs/>
          <w:sz w:val="24"/>
          <w:szCs w:val="24"/>
        </w:rPr>
        <w:t>Форма тендерної пропозиції</w:t>
      </w:r>
    </w:p>
    <w:p>
      <w:pPr>
        <w:pStyle w:val="Normal"/>
        <w:numPr>
          <w:ilvl w:val="0"/>
          <w:numId w:val="0"/>
        </w:numPr>
        <w:ind w:right="-25" w:hanging="0"/>
        <w:jc w:val="center"/>
        <w:outlineLvl w:val="0"/>
        <w:rPr>
          <w:b/>
          <w:b/>
          <w:bCs/>
          <w:sz w:val="16"/>
          <w:szCs w:val="16"/>
        </w:rPr>
      </w:pPr>
      <w:r>
        <w:rPr>
          <w:b/>
          <w:bCs/>
          <w:sz w:val="16"/>
          <w:szCs w:val="16"/>
        </w:rPr>
      </w:r>
      <w:r>
        <w:br w:type="page"/>
      </w:r>
    </w:p>
    <w:tbl>
      <w:tblPr>
        <w:tblW w:w="4950" w:type="pct"/>
        <w:jc w:val="left"/>
        <w:tblInd w:w="8" w:type="dxa"/>
        <w:tblLayout w:type="fixed"/>
        <w:tblCellMar>
          <w:top w:w="0" w:type="dxa"/>
          <w:left w:w="7" w:type="dxa"/>
          <w:bottom w:w="0" w:type="dxa"/>
          <w:right w:w="7" w:type="dxa"/>
        </w:tblCellMar>
        <w:tblLook w:val="00a0"/>
      </w:tblPr>
      <w:tblGrid>
        <w:gridCol w:w="2976"/>
        <w:gridCol w:w="6845"/>
      </w:tblGrid>
      <w:tr>
        <w:trPr>
          <w:trHeight w:val="337" w:hRule="atLeast"/>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pageBreakBefore/>
              <w:widowControl w:val="false"/>
              <w:spacing w:before="96" w:after="96"/>
              <w:ind w:left="113" w:right="113" w:hanging="0"/>
              <w:jc w:val="center"/>
              <w:rPr>
                <w:b/>
                <w:b/>
                <w:bCs/>
                <w:sz w:val="26"/>
                <w:szCs w:val="26"/>
                <w:lang w:eastAsia="uk-UA"/>
              </w:rPr>
            </w:pPr>
            <w:r>
              <w:rPr>
                <w:b/>
                <w:bCs/>
                <w:sz w:val="26"/>
                <w:szCs w:val="26"/>
                <w:lang w:eastAsia="uk-UA"/>
              </w:rPr>
              <w:t>I. Загальні положення</w:t>
            </w:r>
          </w:p>
        </w:tc>
      </w:tr>
      <w:tr>
        <w:trPr>
          <w:trHeight w:val="16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center"/>
              <w:rPr>
                <w:sz w:val="16"/>
                <w:szCs w:val="16"/>
                <w:lang w:eastAsia="uk-UA"/>
              </w:rPr>
            </w:pPr>
            <w:r>
              <w:rPr>
                <w:sz w:val="16"/>
                <w:szCs w:val="16"/>
                <w:lang w:eastAsia="uk-UA"/>
              </w:rPr>
              <w:t>2</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15"/>
              <w:widowControl w:val="false"/>
              <w:spacing w:before="96" w:after="96"/>
              <w:ind w:left="113" w:right="113" w:hanging="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trPr>
          <w:trHeight w:val="672"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jc w:val="both"/>
              <w:rPr>
                <w:sz w:val="24"/>
                <w:szCs w:val="24"/>
                <w:lang w:eastAsia="uk-UA"/>
              </w:rPr>
            </w:pPr>
            <w:r>
              <w:rPr>
                <w:sz w:val="24"/>
                <w:szCs w:val="24"/>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ind w:left="113" w:hanging="0"/>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Rvps2"/>
              <w:widowControl w:val="false"/>
              <w:spacing w:beforeAutospacing="0" w:before="0" w:afterAutospacing="0" w:after="0"/>
              <w:ind w:left="113" w:hanging="0"/>
              <w:rPr>
                <w:bCs/>
              </w:rPr>
            </w:pPr>
            <w:r>
              <w:rPr>
                <w:bCs/>
              </w:rPr>
              <w:t>площа Центральна, 3, м. Чернівці, 58002, Україна.</w:t>
            </w:r>
          </w:p>
        </w:tc>
      </w:tr>
      <w:tr>
        <w:trPr>
          <w:trHeight w:val="1111"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bCs/>
                <w:sz w:val="24"/>
                <w:szCs w:val="24"/>
              </w:rPr>
              <w:t>Соболєв Сергій Миколайович – начальник управління інформаційних систем та електронних реєстрів;</w:t>
            </w:r>
          </w:p>
          <w:p>
            <w:pPr>
              <w:pStyle w:val="Normal"/>
              <w:widowControl w:val="false"/>
              <w:spacing w:lineRule="atLeast" w:line="23" w:before="0" w:after="0"/>
              <w:ind w:left="113" w:right="179" w:hanging="0"/>
              <w:contextualSpacing/>
              <w:jc w:val="both"/>
              <w:rPr>
                <w:bCs/>
                <w:sz w:val="24"/>
                <w:szCs w:val="24"/>
              </w:rPr>
            </w:pPr>
            <w:r>
              <w:rPr>
                <w:bCs/>
                <w:sz w:val="24"/>
                <w:szCs w:val="24"/>
              </w:rPr>
              <w:t>площа Центральна, 3, м. Чернівці; тел.(0372) 516920,</w:t>
            </w:r>
          </w:p>
          <w:p>
            <w:pPr>
              <w:pStyle w:val="Normal"/>
              <w:widowControl w:val="false"/>
              <w:spacing w:lineRule="atLeast" w:line="23" w:before="0" w:after="0"/>
              <w:ind w:left="113" w:right="179" w:hanging="0"/>
              <w:contextualSpacing/>
              <w:jc w:val="both"/>
              <w:rPr>
                <w:bCs/>
                <w:sz w:val="24"/>
                <w:szCs w:val="24"/>
              </w:rPr>
            </w:pPr>
            <w:r>
              <w:rPr>
                <w:bCs/>
                <w:sz w:val="24"/>
                <w:szCs w:val="24"/>
              </w:rPr>
              <w:t>e-mail:</w:t>
            </w:r>
            <w:hyperlink r:id="rId2">
              <w:r>
                <w:rPr>
                  <w:bCs/>
                  <w:sz w:val="24"/>
                  <w:szCs w:val="24"/>
                  <w:lang w:val="en-US"/>
                </w:rPr>
                <w:t>sobolevsn</w:t>
              </w:r>
              <w:r>
                <w:rPr>
                  <w:bCs/>
                  <w:sz w:val="24"/>
                  <w:szCs w:val="24"/>
                </w:rPr>
                <w:t>@</w:t>
              </w:r>
              <w:r>
                <w:rPr>
                  <w:bCs/>
                  <w:sz w:val="24"/>
                  <w:szCs w:val="24"/>
                  <w:lang w:val="en-US"/>
                </w:rPr>
                <w:t>cv</w:t>
              </w:r>
              <w:r>
                <w:rPr>
                  <w:bCs/>
                  <w:sz w:val="24"/>
                  <w:szCs w:val="24"/>
                </w:rPr>
                <w:t>.</w:t>
              </w:r>
              <w:r>
                <w:rPr>
                  <w:bCs/>
                  <w:sz w:val="24"/>
                  <w:szCs w:val="24"/>
                  <w:lang w:val="en-US"/>
                </w:rPr>
                <w:t>pfu</w:t>
              </w:r>
              <w:r>
                <w:rPr>
                  <w:bCs/>
                  <w:sz w:val="24"/>
                  <w:szCs w:val="24"/>
                </w:rPr>
                <w:t>.</w:t>
              </w:r>
              <w:r>
                <w:rPr>
                  <w:bCs/>
                  <w:sz w:val="24"/>
                  <w:szCs w:val="24"/>
                  <w:lang w:val="en-US"/>
                </w:rPr>
                <w:t>gov</w:t>
              </w:r>
              <w:r>
                <w:rPr>
                  <w:bCs/>
                  <w:sz w:val="24"/>
                  <w:szCs w:val="24"/>
                </w:rPr>
                <w:t>.</w:t>
              </w:r>
              <w:r>
                <w:rPr>
                  <w:bCs/>
                  <w:sz w:val="24"/>
                  <w:szCs w:val="24"/>
                  <w:lang w:val="en-US"/>
                </w:rPr>
                <w:t>ua</w:t>
              </w:r>
            </w:hyperlink>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47" w:right="113" w:hanging="0"/>
              <w:jc w:val="both"/>
              <w:rPr>
                <w:sz w:val="24"/>
                <w:szCs w:val="24"/>
                <w:lang w:eastAsia="uk-UA"/>
              </w:rPr>
            </w:pPr>
            <w:r>
              <w:rPr>
                <w:sz w:val="24"/>
                <w:szCs w:val="24"/>
                <w:lang w:eastAsia="uk-UA"/>
              </w:rPr>
              <w:t>Відкриті торги</w:t>
            </w:r>
          </w:p>
        </w:tc>
      </w:tr>
      <w:tr>
        <w:trPr>
          <w:trHeight w:val="53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sz w:val="24"/>
                <w:szCs w:val="24"/>
                <w:lang w:eastAsia="uk-UA"/>
              </w:rPr>
            </w:r>
          </w:p>
        </w:tc>
      </w:tr>
      <w:tr>
        <w:trPr>
          <w:trHeight w:val="494" w:hRule="atLeast"/>
        </w:trPr>
        <w:tc>
          <w:tcPr>
            <w:tcW w:w="2976" w:type="dxa"/>
            <w:tcBorders>
              <w:top w:val="single" w:sz="6" w:space="0" w:color="000000"/>
              <w:left w:val="single" w:sz="6" w:space="0" w:color="000000"/>
              <w:bottom w:val="single" w:sz="6" w:space="0" w:color="000000"/>
              <w:right w:val="single" w:sz="6" w:space="0" w:color="000000"/>
            </w:tcBorders>
            <w:vAlign w:val="center"/>
          </w:tcPr>
          <w:p>
            <w:pPr>
              <w:pStyle w:val="15"/>
              <w:widowControl w:val="false"/>
              <w:spacing w:lineRule="atLeast" w:line="240"/>
              <w:ind w:left="113" w:right="113" w:hanging="0"/>
              <w:rPr>
                <w:rFonts w:ascii="Times New Roman" w:hAnsi="Times New Roman" w:cs="Times New Roman"/>
                <w:sz w:val="24"/>
                <w:szCs w:val="24"/>
                <w:lang w:eastAsia="uk-UA"/>
              </w:rPr>
            </w:pPr>
            <w:r>
              <w:rPr>
                <w:rFonts w:cs="Times New Roman" w:ascii="Times New Roman" w:hAnsi="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3" w:before="0" w:after="0"/>
              <w:ind w:left="113" w:right="179" w:hanging="0"/>
              <w:contextualSpacing/>
              <w:jc w:val="both"/>
              <w:rPr>
                <w:bCs/>
                <w:sz w:val="24"/>
                <w:szCs w:val="24"/>
              </w:rPr>
            </w:pPr>
            <w:r>
              <w:rPr>
                <w:sz w:val="24"/>
                <w:szCs w:val="24"/>
              </w:rPr>
              <w:t>Сервери – Мережеве сховище</w:t>
            </w:r>
            <w:r>
              <w:rPr>
                <w:bCs/>
                <w:sz w:val="24"/>
                <w:szCs w:val="24"/>
              </w:rPr>
              <w:t>,</w:t>
            </w:r>
          </w:p>
          <w:p>
            <w:pPr>
              <w:pStyle w:val="16"/>
              <w:widowControl w:val="false"/>
              <w:spacing w:lineRule="auto" w:line="240" w:before="0" w:after="0"/>
              <w:ind w:left="102" w:right="162" w:hanging="0"/>
              <w:rPr>
                <w:rFonts w:ascii="Times New Roman" w:hAnsi="Times New Roman" w:cs="Times New Roman"/>
                <w:b w:val="false"/>
                <w:b w:val="false"/>
                <w:sz w:val="24"/>
                <w:szCs w:val="24"/>
                <w:highlight w:val="yellow"/>
                <w:lang w:eastAsia="uk-UA"/>
              </w:rPr>
            </w:pPr>
            <w:r>
              <w:rPr>
                <w:rFonts w:cs="Times New Roman" w:ascii="Times New Roman" w:hAnsi="Times New Roman"/>
                <w:b w:val="false"/>
                <w:sz w:val="24"/>
                <w:szCs w:val="24"/>
                <w:lang w:eastAsia="uk-UA"/>
              </w:rPr>
              <w:t xml:space="preserve">код за ДК 021:2015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eastAsia="ru-RU"/>
              </w:rPr>
              <w:t>48820000-2</w:t>
            </w:r>
          </w:p>
        </w:tc>
      </w:tr>
      <w:tr>
        <w:trPr>
          <w:trHeight w:val="10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240"/>
              <w:ind w:left="244" w:right="113" w:hanging="47"/>
              <w:rPr>
                <w:bCs/>
                <w:sz w:val="24"/>
                <w:szCs w:val="24"/>
                <w:highlight w:val="yellow"/>
                <w:lang w:eastAsia="uk-UA"/>
              </w:rPr>
            </w:pPr>
            <w:r>
              <w:rPr>
                <w:bCs/>
                <w:sz w:val="24"/>
                <w:szCs w:val="24"/>
                <w:lang w:eastAsia="uk-UA"/>
              </w:rPr>
              <w:t>не передбачено</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ind w:left="113" w:right="113" w:hanging="0"/>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47" w:right="162" w:hanging="0"/>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firstLine="188"/>
              <w:rPr>
                <w:sz w:val="24"/>
                <w:szCs w:val="24"/>
              </w:rPr>
            </w:pPr>
            <w:r>
              <w:rPr>
                <w:bCs/>
                <w:sz w:val="24"/>
                <w:szCs w:val="24"/>
                <w:lang w:eastAsia="uk-UA"/>
              </w:rPr>
              <w:t>до 15 грудня 2023 року</w:t>
            </w:r>
          </w:p>
        </w:tc>
      </w:tr>
      <w:tr>
        <w:trPr>
          <w:trHeight w:val="1053"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sz w:val="24"/>
                <w:szCs w:val="24"/>
                <w:lang w:eastAsia="uk-UA"/>
              </w:rPr>
            </w:pPr>
            <w:r>
              <w:rPr>
                <w:b/>
                <w:bCs/>
                <w:sz w:val="24"/>
                <w:szCs w:val="24"/>
                <w:lang w:eastAsia="uk-UA"/>
              </w:rPr>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160" w:before="60" w:after="60"/>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Normal"/>
              <w:widowControl w:val="false"/>
              <w:spacing w:lineRule="atLeast" w:line="160" w:before="60" w:after="60"/>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tLeast" w:line="160" w:before="60" w:after="60"/>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Normal"/>
              <w:widowControl w:val="false"/>
              <w:spacing w:lineRule="atLeast" w:line="160" w:before="60" w:after="60"/>
              <w:ind w:left="163" w:right="97" w:firstLine="360"/>
              <w:jc w:val="both"/>
              <w:rPr>
                <w:b/>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ІІ. Порядок унесення змін та надання роз’яснень до тендерної документації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5"/>
              <w:widowControl w:val="false"/>
              <w:spacing w:lineRule="atLeast" w:line="240"/>
              <w:ind w:left="113" w:right="113" w:firstLine="403"/>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15"/>
              <w:widowControl w:val="false"/>
              <w:spacing w:lineRule="atLeast" w:line="240"/>
              <w:ind w:left="113" w:right="113" w:firstLine="403"/>
              <w:jc w:val="both"/>
              <w:rPr>
                <w:sz w:val="24"/>
                <w:szCs w:val="24"/>
              </w:rPr>
            </w:pPr>
            <w:r>
              <w:rPr>
                <w:rFonts w:cs="Times New Roman" w:ascii="Times New Roman" w:hAnsi="Times New Roman"/>
                <w:color w:val="000000"/>
                <w:sz w:val="24"/>
                <w:szCs w:val="24"/>
              </w:rPr>
              <w:t>Зазначена у цій частині інформація оприлюднюється замовником відповідно до статті 10 Закону.</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IIІ. Інструкція з підготовки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Зміст та спосіб подання тендерної пропозиції</w:t>
            </w:r>
          </w:p>
          <w:p>
            <w:pPr>
              <w:pStyle w:val="Normal"/>
              <w:widowControl w:val="false"/>
              <w:spacing w:before="96" w:after="96"/>
              <w:ind w:left="113" w:right="113" w:hanging="0"/>
              <w:rPr>
                <w:sz w:val="28"/>
                <w:szCs w:val="28"/>
                <w:lang w:eastAsia="uk-UA"/>
              </w:rPr>
            </w:pPr>
            <w:r>
              <w:rPr>
                <w:sz w:val="28"/>
                <w:szCs w:val="28"/>
                <w:lang w:eastAsia="uk-UA"/>
              </w:rPr>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Normal"/>
              <w:widowControl w:val="false"/>
              <w:ind w:left="118" w:right="119" w:firstLine="425"/>
              <w:jc w:val="both"/>
              <w:rPr>
                <w:sz w:val="24"/>
                <w:szCs w:val="24"/>
                <w:u w:val="single"/>
              </w:rPr>
            </w:pPr>
            <w:r>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trPr>
          <w:trHeight w:val="460"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825" w:leader="none"/>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pPr>
              <w:pStyle w:val="Normal"/>
              <w:widowControl w:val="false"/>
              <w:spacing w:lineRule="atLeast" w:line="240"/>
              <w:ind w:left="113" w:right="113" w:firstLine="403"/>
              <w:jc w:val="both"/>
              <w:rPr>
                <w:b/>
                <w:b/>
                <w:bCs/>
                <w:sz w:val="24"/>
                <w:szCs w:val="24"/>
                <w:highlight w:val="yellow"/>
                <w:lang w:eastAsia="uk-UA"/>
              </w:rPr>
            </w:pPr>
            <w:r>
              <w:rPr>
                <w:b/>
                <w:bCs/>
                <w:sz w:val="24"/>
                <w:szCs w:val="24"/>
                <w:highlight w:val="yellow"/>
                <w:lang w:eastAsia="uk-UA"/>
              </w:rPr>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pPr>
              <w:pStyle w:val="Normal"/>
              <w:widowControl w:val="false"/>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pPr>
              <w:pStyle w:val="Normal"/>
              <w:widowControl w:val="false"/>
              <w:ind w:left="118" w:right="119" w:firstLine="425"/>
              <w:jc w:val="both"/>
              <w:rPr>
                <w:sz w:val="24"/>
                <w:szCs w:val="24"/>
              </w:rPr>
            </w:pPr>
            <w:r>
              <w:rPr>
                <w:sz w:val="24"/>
                <w:szCs w:val="24"/>
              </w:rPr>
              <w:t>Учасник має право:</w:t>
            </w:r>
          </w:p>
          <w:p>
            <w:pPr>
              <w:pStyle w:val="Normal"/>
              <w:widowControl w:val="false"/>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pPr>
              <w:pStyle w:val="Normal"/>
              <w:widowControl w:val="false"/>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pPr>
              <w:pStyle w:val="Normal"/>
              <w:widowControl w:val="false"/>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7" w:right="113" w:hanging="0"/>
              <w:rPr>
                <w:b/>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pPr>
              <w:pStyle w:val="Normal"/>
              <w:widowControl w:val="false"/>
              <w:spacing w:before="96" w:after="96"/>
              <w:ind w:left="118" w:right="113" w:firstLine="425"/>
              <w:jc w:val="both"/>
              <w:rPr/>
            </w:pPr>
            <w:r>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pPr>
              <w:pStyle w:val="Normal"/>
              <w:widowControl w:val="false"/>
              <w:spacing w:before="96" w:after="96"/>
              <w:ind w:left="107" w:right="113" w:firstLine="421"/>
              <w:jc w:val="both"/>
              <w:rPr/>
            </w:pPr>
            <w:r>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pPr>
            <w:r>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pPr>
              <w:pStyle w:val="Normal"/>
              <w:widowControl w:val="false"/>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pPr>
              <w:pStyle w:val="Normal"/>
              <w:widowControl w:val="false"/>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before="96" w:after="96"/>
              <w:ind w:left="107" w:right="113" w:firstLine="421"/>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widowControl w:val="false"/>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widowControl w:val="false"/>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widowControl w:val="false"/>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pPr>
              <w:pStyle w:val="Normal"/>
              <w:widowControl w:val="false"/>
              <w:spacing w:before="96" w:after="96"/>
              <w:ind w:left="107" w:right="113" w:firstLine="421"/>
              <w:jc w:val="both"/>
              <w:rPr>
                <w:sz w:val="24"/>
                <w:szCs w:val="24"/>
              </w:rPr>
            </w:pPr>
            <w:r>
              <w:rPr>
                <w:sz w:val="24"/>
                <w:szCs w:val="24"/>
              </w:rPr>
              <w:t>https://corruptinfo.nazk.gov.ua/reference/getpersonalreference/ in dividual,</w:t>
            </w:r>
          </w:p>
          <w:p>
            <w:pPr>
              <w:pStyle w:val="Normal"/>
              <w:widowControl w:val="false"/>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pPr>
              <w:pStyle w:val="Normal"/>
              <w:widowControl w:val="false"/>
              <w:spacing w:before="96" w:after="96"/>
              <w:ind w:left="107" w:right="113" w:firstLine="421"/>
              <w:jc w:val="both"/>
              <w:rPr>
                <w:sz w:val="24"/>
                <w:szCs w:val="24"/>
              </w:rPr>
            </w:pPr>
            <w:hyperlink r:id="rId3">
              <w:r>
                <w:rPr>
                  <w:sz w:val="24"/>
                  <w:szCs w:val="24"/>
                </w:rPr>
                <w:t>https://corruptinfo.nazk.gov.ua/reference/getpersonalreference/legal</w:t>
              </w:r>
            </w:hyperlink>
            <w:r>
              <w:rPr>
                <w:sz w:val="24"/>
                <w:szCs w:val="24"/>
              </w:rPr>
              <w:t>).</w:t>
            </w:r>
          </w:p>
          <w:p>
            <w:pPr>
              <w:pStyle w:val="Normal"/>
              <w:widowControl w:val="false"/>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pPr>
              <w:pStyle w:val="Normal"/>
              <w:widowControl w:val="false"/>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pPr>
              <w:pStyle w:val="Normal"/>
              <w:widowControl w:val="false"/>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підпунктом 12 пункту 47 Особливостей;</w:t>
            </w:r>
          </w:p>
          <w:p>
            <w:pPr>
              <w:pStyle w:val="Normal"/>
              <w:widowControl w:val="false"/>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80" w:right="113" w:hanging="0"/>
              <w:rPr>
                <w:b/>
                <w:b/>
                <w:bCs/>
                <w:sz w:val="24"/>
                <w:szCs w:val="24"/>
                <w:lang w:eastAsia="uk-UA"/>
              </w:rPr>
            </w:pPr>
            <w:r>
              <w:rPr>
                <w:b/>
                <w:bCs/>
                <w:sz w:val="24"/>
                <w:szCs w:val="24"/>
              </w:rPr>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pPr>
              <w:pStyle w:val="Normal"/>
              <w:widowControl w:val="false"/>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360"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hanging="0"/>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1695"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ІV. Подання та розкриття тендерної пропозиції</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b/>
                <w:b/>
                <w:bCs/>
                <w:sz w:val="24"/>
                <w:szCs w:val="24"/>
              </w:rPr>
            </w:pPr>
            <w:r>
              <w:rPr>
                <w:sz w:val="24"/>
                <w:szCs w:val="24"/>
              </w:rPr>
              <w:t xml:space="preserve">Кінцевий строк подання тендерних пропозицій </w:t>
            </w:r>
            <w:r>
              <w:rPr>
                <w:b/>
                <w:bCs/>
                <w:sz w:val="24"/>
                <w:szCs w:val="24"/>
                <w:lang w:val="en-US"/>
              </w:rPr>
              <w:t>14</w:t>
            </w:r>
            <w:r>
              <w:rPr>
                <w:b/>
                <w:bCs/>
                <w:sz w:val="24"/>
                <w:szCs w:val="24"/>
              </w:rPr>
              <w:t>.11.2023.</w:t>
            </w:r>
          </w:p>
          <w:p>
            <w:pPr>
              <w:pStyle w:val="Normal"/>
              <w:widowControl w:val="false"/>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pPr>
              <w:pStyle w:val="Normal"/>
              <w:widowControl w:val="false"/>
              <w:ind w:left="118" w:right="119" w:firstLine="425"/>
              <w:jc w:val="both"/>
              <w:rPr/>
            </w:pPr>
            <w:r>
              <w:rPr>
                <w:rFonts w:eastAsia="Times New Roman"/>
                <w:color w:val="000000"/>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b/>
                <w:b/>
                <w:bCs/>
                <w:sz w:val="26"/>
                <w:szCs w:val="26"/>
              </w:rPr>
            </w:pPr>
            <w:r>
              <w:rPr>
                <w:b/>
                <w:bCs/>
                <w:sz w:val="26"/>
                <w:szCs w:val="26"/>
              </w:rPr>
              <w:t>V. Оцінка тендерної пропозиції</w:t>
            </w:r>
          </w:p>
        </w:tc>
      </w:tr>
      <w:tr>
        <w:trPr>
          <w:trHeight w:val="475"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pPr>
              <w:pStyle w:val="Normal"/>
              <w:widowControl w:val="false"/>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pPr>
              <w:pStyle w:val="Normal"/>
              <w:widowControl w:val="false"/>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375" w:hRule="atLeast"/>
        </w:trPr>
        <w:tc>
          <w:tcPr>
            <w:tcW w:w="2976" w:type="dxa"/>
            <w:tcBorders>
              <w:top w:val="single" w:sz="6" w:space="0" w:color="000000"/>
              <w:left w:val="single" w:sz="6" w:space="0" w:color="000000"/>
              <w:bottom w:val="single" w:sz="4" w:space="0" w:color="000000"/>
              <w:right w:val="single" w:sz="6" w:space="0" w:color="000000"/>
            </w:tcBorders>
          </w:tcPr>
          <w:p>
            <w:pPr>
              <w:pStyle w:val="Normal"/>
              <w:widowControl w:val="false"/>
              <w:spacing w:before="96" w:after="96"/>
              <w:ind w:left="108" w:right="113" w:hanging="0"/>
              <w:rPr>
                <w:b/>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widowControl w:val="false"/>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rPr>
          <w:trHeight w:val="622" w:hRule="atLeast"/>
        </w:trPr>
        <w:tc>
          <w:tcPr>
            <w:tcW w:w="2976" w:type="dxa"/>
            <w:tcBorders>
              <w:top w:val="single" w:sz="4" w:space="0" w:color="000000"/>
              <w:left w:val="single" w:sz="6" w:space="0" w:color="000000"/>
              <w:bottom w:val="single" w:sz="6" w:space="0" w:color="000000"/>
              <w:right w:val="single" w:sz="6" w:space="0" w:color="000000"/>
            </w:tcBorders>
          </w:tcPr>
          <w:p>
            <w:pPr>
              <w:pStyle w:val="Normal"/>
              <w:widowControl w:val="false"/>
              <w:spacing w:before="96" w:after="96"/>
              <w:ind w:left="108" w:right="113" w:hanging="0"/>
              <w:rPr>
                <w:b/>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восьмого підпункту 1 пункту 44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ind w:left="163" w:right="97" w:firstLine="374"/>
              <w:jc w:val="both"/>
              <w:rPr>
                <w:rFonts w:eastAsia="Times New Roman"/>
                <w:color w:val="000000"/>
                <w:sz w:val="24"/>
                <w:szCs w:val="24"/>
              </w:rPr>
            </w:pPr>
            <w:bookmarkStart w:id="1" w:name="n500"/>
            <w:bookmarkStart w:id="2" w:name="n501"/>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pPr>
              <w:pStyle w:val="Normal"/>
              <w:widowControl w:val="false"/>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нерезидентів);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11) </w:t>
            </w:r>
            <w:r>
              <w:rPr>
                <w:color w:val="333333"/>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rPr>
                <w:sz w:val="24"/>
                <w:szCs w:val="24"/>
                <w:color w:val="000000"/>
              </w:rPr>
              <w:instrText xml:space="preserve"> HYPERLINK "https://zakon.rada.gov.ua/laws/show/1644-18" \l "_blank"</w:instrText>
            </w:r>
            <w:r>
              <w:rPr>
                <w:sz w:val="24"/>
                <w:szCs w:val="24"/>
                <w:color w:val="000000"/>
              </w:rPr>
              <w:fldChar w:fldCharType="separate"/>
            </w:r>
            <w:r>
              <w:rPr>
                <w:color w:val="000000"/>
                <w:sz w:val="24"/>
                <w:szCs w:val="24"/>
              </w:rPr>
              <w:t>Законом України</w:t>
            </w:r>
            <w:r>
              <w:rPr>
                <w:sz w:val="24"/>
                <w:szCs w:val="24"/>
                <w:color w:val="000000"/>
              </w:rPr>
              <w:fldChar w:fldCharType="end"/>
            </w:r>
            <w:r>
              <w:rPr>
                <w:color w:val="333333"/>
                <w:sz w:val="24"/>
                <w:szCs w:val="24"/>
              </w:rPr>
              <w:t>“Про санкції”, крім випадку, коли активи такої особи в установленому законодавством порядку передані в управління АРМА</w:t>
            </w:r>
            <w:r>
              <w:rPr>
                <w:rFonts w:eastAsia="Times New Roman"/>
                <w:color w:val="000000"/>
                <w:sz w:val="24"/>
                <w:szCs w:val="24"/>
              </w:rPr>
              <w:t>;</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Замовник може відхилити тендерну пропозицію учасника процедури закупівлі в разі, коли: </w:t>
            </w:r>
          </w:p>
          <w:p>
            <w:pPr>
              <w:pStyle w:val="Normal"/>
              <w:widowControl w:val="false"/>
              <w:ind w:left="163" w:right="97" w:firstLine="374"/>
              <w:jc w:val="both"/>
              <w:rPr>
                <w:rFonts w:eastAsia="Times New Roman"/>
                <w:color w:val="000000"/>
                <w:sz w:val="24"/>
                <w:szCs w:val="24"/>
              </w:rPr>
            </w:pPr>
            <w:r>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 xml:space="preserve">- </w:t>
            </w:r>
            <w:r>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eastAsia="Times New Roman"/>
                <w:color w:val="000000"/>
                <w:sz w:val="24"/>
                <w:szCs w:val="24"/>
              </w:rPr>
              <w:t xml:space="preserve">. </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ind w:left="163" w:right="97" w:firstLine="374"/>
              <w:jc w:val="both"/>
              <w:rPr>
                <w:sz w:val="28"/>
                <w:szCs w:val="28"/>
              </w:rPr>
            </w:pPr>
            <w:r>
              <w:rPr>
                <w:rFonts w:eastAsia="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center"/>
              <w:rPr>
                <w:sz w:val="26"/>
                <w:szCs w:val="26"/>
                <w:lang w:eastAsia="uk-UA"/>
              </w:rPr>
            </w:pPr>
            <w:r>
              <w:rPr>
                <w:b/>
                <w:bCs/>
                <w:sz w:val="26"/>
                <w:szCs w:val="26"/>
                <w:lang w:eastAsia="uk-UA"/>
              </w:rPr>
              <w:t>VІ. Результати торгів та укладання договору про закупівлю</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Pr>
                <w:rFonts w:eastAsia="Times New Roman"/>
                <w:color w:val="000000"/>
                <w:sz w:val="24"/>
                <w:szCs w:val="24"/>
              </w:rPr>
              <w:t>Замовник відміняє відкриті торги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fill="FFFFFF" w:val="clear"/>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before="96" w:after="96"/>
              <w:ind w:left="113" w:right="113" w:firstLine="404"/>
              <w:jc w:val="both"/>
              <w:rPr>
                <w:rFonts w:eastAsia="Times New Roman"/>
                <w:color w:val="000000"/>
                <w:sz w:val="24"/>
                <w:szCs w:val="24"/>
              </w:rPr>
            </w:pPr>
            <w:r>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pPr>
              <w:pStyle w:val="Normal"/>
              <w:widowControl w:val="false"/>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pPr>
              <w:pStyle w:val="Normal"/>
              <w:widowControl w:val="false"/>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pPr>
              <w:pStyle w:val="Normal"/>
              <w:widowControl w:val="false"/>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487" w:hRule="atLeast"/>
        </w:trPr>
        <w:tc>
          <w:tcPr>
            <w:tcW w:w="29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hanging="0"/>
              <w:rPr>
                <w:b/>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96" w:after="96"/>
              <w:ind w:left="113" w:right="113" w:firstLine="404"/>
              <w:jc w:val="both"/>
              <w:rPr>
                <w:sz w:val="24"/>
                <w:szCs w:val="24"/>
              </w:rPr>
            </w:pPr>
            <w:r>
              <w:rPr>
                <w:sz w:val="24"/>
                <w:szCs w:val="24"/>
              </w:rPr>
              <w:t>Не вимагається</w:t>
            </w:r>
          </w:p>
        </w:tc>
      </w:tr>
    </w:tbl>
    <w:p>
      <w:pPr>
        <w:pStyle w:val="Normal"/>
        <w:ind w:right="-25" w:hanging="0"/>
        <w:rPr>
          <w:b/>
          <w:b/>
          <w:bCs/>
          <w:color w:val="000000"/>
          <w:sz w:val="24"/>
          <w:szCs w:val="24"/>
        </w:rPr>
      </w:pPr>
      <w:r>
        <w:rPr>
          <w:b/>
          <w:bCs/>
          <w:color w:val="000000"/>
          <w:sz w:val="24"/>
          <w:szCs w:val="24"/>
        </w:rPr>
      </w:r>
    </w:p>
    <w:p>
      <w:pPr>
        <w:pStyle w:val="Normal"/>
        <w:ind w:right="-25" w:hanging="0"/>
        <w:rPr>
          <w:b/>
          <w:b/>
          <w:bCs/>
          <w:color w:val="000000"/>
          <w:sz w:val="24"/>
          <w:szCs w:val="24"/>
        </w:rPr>
      </w:pPr>
      <w:r>
        <w:rPr>
          <w:b/>
          <w:bCs/>
          <w:color w:val="000000"/>
          <w:sz w:val="24"/>
          <w:szCs w:val="24"/>
        </w:rPr>
      </w:r>
    </w:p>
    <w:p>
      <w:pPr>
        <w:pStyle w:val="Normal"/>
        <w:widowControl w:val="false"/>
        <w:spacing w:before="0" w:after="120"/>
        <w:ind w:firstLine="567"/>
        <w:contextualSpacing/>
        <w:jc w:val="both"/>
        <w:rPr>
          <w:sz w:val="26"/>
          <w:szCs w:val="26"/>
        </w:rPr>
      </w:pPr>
      <w:r>
        <w:rPr>
          <w:sz w:val="26"/>
          <w:szCs w:val="26"/>
        </w:rPr>
        <w:t>Додатки, які є невід’ємною частиною Тендерної документації подані Замовником окремими файлами: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rPr>
          <w:sz w:val="26"/>
          <w:szCs w:val="26"/>
        </w:rPr>
      </w:pPr>
      <w:r>
        <w:rPr>
          <w:sz w:val="26"/>
          <w:szCs w:val="26"/>
        </w:rPr>
      </w:r>
    </w:p>
    <w:p>
      <w:pPr>
        <w:pStyle w:val="Normal"/>
        <w:widowControl w:val="false"/>
        <w:spacing w:before="0" w:after="120"/>
        <w:contextualSpacing/>
        <w:jc w:val="both"/>
        <w:rPr>
          <w:b/>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pPr>
        <w:pStyle w:val="Normal"/>
        <w:widowControl w:val="false"/>
        <w:spacing w:before="0" w:after="120"/>
        <w:contextualSpacing/>
        <w:jc w:val="both"/>
        <w:rPr>
          <w:b/>
          <w:b/>
          <w:bCs/>
          <w:sz w:val="24"/>
          <w:szCs w:val="24"/>
        </w:rPr>
      </w:pPr>
      <w:r>
        <w:rPr>
          <w:b/>
          <w:bCs/>
          <w:sz w:val="24"/>
          <w:szCs w:val="24"/>
        </w:rPr>
      </w:r>
    </w:p>
    <w:p>
      <w:pPr>
        <w:pStyle w:val="Normal"/>
        <w:widowControl w:val="false"/>
        <w:spacing w:before="0" w:after="120"/>
        <w:contextualSpacing/>
        <w:jc w:val="both"/>
        <w:rPr>
          <w:b/>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pPr>
        <w:pStyle w:val="Normal"/>
        <w:spacing w:before="0" w:after="120"/>
        <w:rPr>
          <w:rFonts w:ascii="Arial" w:hAnsi="Arial" w:cs="Arial"/>
        </w:rPr>
      </w:pPr>
      <w:r>
        <w:rPr/>
      </w:r>
    </w:p>
    <w:sectPr>
      <w:headerReference w:type="default" r:id="rId4"/>
      <w:type w:val="nextPage"/>
      <w:pgSz w:w="11906" w:h="16838"/>
      <w:pgMar w:left="1418" w:right="566" w:gutter="0" w:header="397" w:top="709" w:footer="0" w:bottom="426"/>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pict>
        <v:shape id="shape_0" ID="Рамка1" coordsize="20703,14480" path="m20702,14479l20702,0l20702,14479l0,14479l0,0e" stroked="f" o:allowincell="f" style="position:absolute;margin-left:-45.35pt;margin-top:-1857.5pt;width:586.75pt;height:410.35pt;mso-position-horizontal:center;mso-position-horizontal-relative:margin">
          <v:stroke color="#3465a4" joinstyle="round" endcap="flat"/>
          <v:fill o:detectmouseclick="t" on="false"/>
          <w10:wrap type="none"/>
        </v:shape>
      </w:pic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eastAsia="ru-RU" w:val="uk-UA"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d149c3"/>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d149c3"/>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d149c3"/>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d149c3"/>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d149c3"/>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customStyle="1">
    <w:name w:val="Гіперпосилання"/>
    <w:locked/>
    <w:rsid w:val="00f04323"/>
    <w:rPr>
      <w:color w:val="000080"/>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d149c3"/>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d149c3"/>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8"/>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Style24" w:customStyle="1">
    <w:name w:val="Виділення"/>
    <w:basedOn w:val="DefaultParagraphFont"/>
    <w:uiPriority w:val="20"/>
    <w:qFormat/>
    <w:locked/>
    <w:rsid w:val="00ce021e"/>
    <w:rPr>
      <w:i/>
      <w:iCs/>
    </w:rPr>
  </w:style>
  <w:style w:type="character" w:styleId="Spanrvts0" w:customStyle="1">
    <w:name w:val="span_rvts0"/>
    <w:basedOn w:val="DefaultParagraphFont"/>
    <w:qFormat/>
    <w:rsid w:val="006f421f"/>
    <w:rPr>
      <w:rFonts w:ascii="Times New Roman" w:hAnsi="Times New Roman" w:eastAsia="Times New Roman" w:cs="Times New Roman"/>
      <w:b w:val="false"/>
      <w:bCs w:val="false"/>
      <w:i w:val="false"/>
      <w:iCs w:val="false"/>
      <w:sz w:val="24"/>
      <w:szCs w:val="24"/>
    </w:rPr>
  </w:style>
  <w:style w:type="character" w:styleId="Arvts99" w:customStyle="1">
    <w:name w:val="a_rvts99"/>
    <w:basedOn w:val="DefaultParagraphFont"/>
    <w:qFormat/>
    <w:rsid w:val="006f421f"/>
    <w:rPr>
      <w:rFonts w:ascii="Times New Roman" w:hAnsi="Times New Roman" w:eastAsia="Times New Roman" w:cs="Times New Roman"/>
      <w:b w:val="false"/>
      <w:bCs w:val="false"/>
      <w:i w:val="false"/>
      <w:iCs w:val="false"/>
      <w:color w:val="006600"/>
      <w:sz w:val="24"/>
      <w:szCs w:val="24"/>
    </w:rPr>
  </w:style>
  <w:style w:type="character" w:styleId="13" w:customStyle="1">
    <w:name w:val="Строгий1"/>
    <w:qFormat/>
    <w:rsid w:val="001d1bb7"/>
    <w:rPr>
      <w:rFonts w:cs="Times New Roman"/>
      <w:b/>
      <w:bCs/>
    </w:rPr>
  </w:style>
  <w:style w:type="paragraph" w:styleId="Style25" w:customStyle="1">
    <w:name w:val="Заголовок"/>
    <w:basedOn w:val="Normal"/>
    <w:next w:val="Style26"/>
    <w:qFormat/>
    <w:rsid w:val="00c773bf"/>
    <w:pPr>
      <w:keepNext w:val="true"/>
      <w:spacing w:before="240" w:after="120"/>
    </w:pPr>
    <w:rPr>
      <w:rFonts w:ascii="Liberation Sans" w:hAnsi="Liberation Sans" w:eastAsia="Times New Roman" w:cs="Liberation Sans"/>
      <w:color w:val="00000A"/>
      <w:sz w:val="28"/>
      <w:szCs w:val="28"/>
    </w:rPr>
  </w:style>
  <w:style w:type="paragraph" w:styleId="Style26">
    <w:name w:val="Body Text"/>
    <w:basedOn w:val="Normal"/>
    <w:link w:val="Style13"/>
    <w:rsid w:val="00c773bf"/>
    <w:pPr>
      <w:spacing w:before="0" w:after="120"/>
    </w:pPr>
    <w:rPr/>
  </w:style>
  <w:style w:type="paragraph" w:styleId="Style27">
    <w:name w:val="List"/>
    <w:basedOn w:val="Style26"/>
    <w:rsid w:val="00955cf8"/>
    <w:pPr/>
    <w:rPr>
      <w:rFonts w:cs="Lucida Sans"/>
    </w:rPr>
  </w:style>
  <w:style w:type="paragraph" w:styleId="Style28" w:customStyle="1">
    <w:name w:val="Caption"/>
    <w:basedOn w:val="Normal"/>
    <w:qFormat/>
    <w:rsid w:val="00955cf8"/>
    <w:pPr>
      <w:suppressLineNumbers/>
      <w:spacing w:before="120" w:after="120"/>
    </w:pPr>
    <w:rPr>
      <w:rFonts w:cs="Lucida Sans"/>
      <w:i/>
      <w:iCs/>
      <w:sz w:val="24"/>
      <w:szCs w:val="24"/>
    </w:rPr>
  </w:style>
  <w:style w:type="paragraph" w:styleId="Style29" w:customStyle="1">
    <w:name w:val="Покажчик"/>
    <w:basedOn w:val="Normal"/>
    <w:qFormat/>
    <w:rsid w:val="00c773bf"/>
    <w:pPr>
      <w:suppressLineNumbers/>
    </w:pPr>
    <w:rPr>
      <w:color w:val="00000A"/>
    </w:rPr>
  </w:style>
  <w:style w:type="paragraph" w:styleId="Style30">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1">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2" w:customStyle="1">
    <w:name w:val="Верхній і нижній колонтитули"/>
    <w:basedOn w:val="Normal"/>
    <w:qFormat/>
    <w:rsid w:val="00955cf8"/>
    <w:pPr/>
    <w:rPr/>
  </w:style>
  <w:style w:type="paragraph" w:styleId="Style33" w:customStyle="1">
    <w:name w:val="Header"/>
    <w:basedOn w:val="Normal"/>
    <w:link w:val="Style11"/>
    <w:rsid w:val="00c773bf"/>
    <w:pPr>
      <w:tabs>
        <w:tab w:val="clear" w:pos="709"/>
        <w:tab w:val="center" w:pos="4819" w:leader="none"/>
        <w:tab w:val="right" w:pos="9639" w:leader="none"/>
      </w:tabs>
    </w:pPr>
    <w:rPr/>
  </w:style>
  <w:style w:type="paragraph" w:styleId="Style34" w:customStyle="1">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4"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5"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5" w:customStyle="1">
    <w:name w:val="Без интервала1"/>
    <w:qFormat/>
    <w:rsid w:val="00c773bf"/>
    <w:pPr>
      <w:widowControl/>
      <w:suppressAutoHyphens w:val="true"/>
      <w:bidi w:val="0"/>
      <w:spacing w:before="0" w:after="0"/>
      <w:jc w:val="left"/>
    </w:pPr>
    <w:rPr>
      <w:rFonts w:eastAsia="Times New Roman" w:cs="Calibri" w:ascii="Calibri" w:hAnsi="Calibri"/>
      <w:color w:val="auto"/>
      <w:kern w:val="0"/>
      <w:sz w:val="22"/>
      <w:szCs w:val="22"/>
      <w:lang w:eastAsia="en-US" w:val="uk-UA"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6">
    <w:name w:val="Body Text Indent"/>
    <w:basedOn w:val="Normal"/>
    <w:link w:val="Style15"/>
    <w:rsid w:val="00c773bf"/>
    <w:pPr>
      <w:spacing w:before="0" w:after="120"/>
      <w:ind w:left="283" w:hanging="0"/>
    </w:pPr>
    <w:rPr/>
  </w:style>
  <w:style w:type="paragraph" w:styleId="16"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7"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8"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eastAsia="en-US" w:val="uk-UA" w:bidi="ar-SA"/>
    </w:rPr>
  </w:style>
  <w:style w:type="paragraph" w:styleId="Style39"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7"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pPr>
    <w:rPr>
      <w:rFonts w:eastAsia="Times New Roman"/>
      <w:sz w:val="24"/>
      <w:szCs w:val="24"/>
      <w:lang w:val="ru-RU" w:eastAsia="zh-CN"/>
    </w:rPr>
  </w:style>
  <w:style w:type="paragraph" w:styleId="18"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customStyle="1">
    <w:name w:val="Вміст рамки"/>
    <w:basedOn w:val="Normal"/>
    <w:qFormat/>
    <w:rsid w:val="00955cf8"/>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9">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bolevsn@cv.pfu.gov.ua" TargetMode="External"/><Relationship Id="rId3" Type="http://schemas.openxmlformats.org/officeDocument/2006/relationships/hyperlink" Target="https://corruptinfo.nazk.gov.ua/reference/getpersonalreference/legal"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LibreOffice/7.3.0.3$Windows_X86_64 LibreOffice_project/0f246aa12d0eee4a0f7adcefbf7c878fc2238db3</Application>
  <AppVersion>15.0000</AppVersion>
  <Pages>20</Pages>
  <Words>6720</Words>
  <Characters>46694</Characters>
  <CharactersWithSpaces>53150</CharactersWithSpaces>
  <Paragraphs>296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2023-11-06T13:59:57Z</dcterms:modified>
  <cp:revision>20</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