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12" w:right="-25" w:firstLine="708"/>
        <w:rPr>
          <w:b/>
          <w:b/>
          <w:bCs/>
          <w:color w:val="000000"/>
          <w:sz w:val="24"/>
          <w:szCs w:val="24"/>
        </w:rPr>
      </w:pPr>
      <w:r>
        <w:rPr>
          <w:b/>
          <w:bCs/>
          <w:color w:val="000000"/>
          <w:sz w:val="24"/>
          <w:szCs w:val="24"/>
        </w:rPr>
        <w:t>Додаток 1</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jc w:val="center"/>
        <w:rPr>
          <w:bCs/>
        </w:rPr>
      </w:pPr>
      <w:r>
        <w:rPr>
          <w:bCs/>
        </w:rPr>
      </w:r>
    </w:p>
    <w:p>
      <w:pPr>
        <w:pStyle w:val="Normal"/>
        <w:jc w:val="center"/>
        <w:rPr>
          <w:sz w:val="24"/>
          <w:szCs w:val="24"/>
        </w:rPr>
      </w:pPr>
      <w:r>
        <w:rPr>
          <w:b/>
          <w:bCs/>
          <w:sz w:val="24"/>
          <w:szCs w:val="24"/>
        </w:rPr>
        <w:t xml:space="preserve">Інформація </w:t>
      </w:r>
    </w:p>
    <w:p>
      <w:pPr>
        <w:pStyle w:val="Normal"/>
        <w:jc w:val="center"/>
        <w:rPr>
          <w:sz w:val="24"/>
          <w:szCs w:val="24"/>
        </w:rPr>
      </w:pPr>
      <w:r>
        <w:rPr>
          <w:b/>
          <w:bCs/>
          <w:sz w:val="24"/>
          <w:szCs w:val="24"/>
        </w:rPr>
        <w:t>про необхідні технічні, якісні та кількісні характеристики предмету закупівлі</w:t>
      </w:r>
    </w:p>
    <w:p>
      <w:pPr>
        <w:pStyle w:val="18"/>
        <w:tabs>
          <w:tab w:val="clear" w:pos="709"/>
          <w:tab w:val="left" w:pos="0" w:leader="none"/>
        </w:tabs>
        <w:spacing w:before="0" w:after="0"/>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Style27"/>
        <w:ind w:left="2127" w:hanging="2127"/>
        <w:jc w:val="both"/>
        <w:rPr>
          <w:b/>
          <w:b/>
          <w:sz w:val="24"/>
          <w:szCs w:val="24"/>
        </w:rPr>
      </w:pPr>
      <w:r>
        <w:rPr>
          <w:rStyle w:val="Strong"/>
          <w:b w:val="false"/>
          <w:color w:val="000000"/>
          <w:sz w:val="24"/>
          <w:szCs w:val="24"/>
        </w:rPr>
        <w:t xml:space="preserve">Предмет закупівлі: </w:t>
      </w:r>
      <w:r>
        <w:rPr>
          <w:b/>
          <w:sz w:val="24"/>
          <w:szCs w:val="24"/>
        </w:rPr>
        <w:t>Сервери –</w:t>
      </w:r>
      <w:r>
        <w:rPr>
          <w:sz w:val="24"/>
          <w:szCs w:val="24"/>
        </w:rPr>
        <w:t xml:space="preserve"> </w:t>
      </w:r>
      <w:r>
        <w:rPr>
          <w:b/>
          <w:sz w:val="24"/>
          <w:szCs w:val="24"/>
        </w:rPr>
        <w:t>Мережеве сховище (Qnap TS-873A-8G або еквівалент), код ДК 021:2015 – 48820000-2</w:t>
      </w:r>
      <w:r>
        <w:rPr/>
        <w:t>.</w:t>
      </w:r>
    </w:p>
    <w:p>
      <w:pPr>
        <w:pStyle w:val="Normal"/>
        <w:spacing w:before="0" w:after="120"/>
        <w:jc w:val="both"/>
        <w:rPr>
          <w:sz w:val="24"/>
          <w:szCs w:val="24"/>
        </w:rPr>
      </w:pPr>
      <w:r>
        <w:rPr>
          <w:sz w:val="24"/>
          <w:szCs w:val="24"/>
        </w:rPr>
        <w:t xml:space="preserve">Очікувана вартість закупівлі: </w:t>
      </w:r>
      <w:r>
        <w:rPr>
          <w:b/>
          <w:sz w:val="24"/>
          <w:szCs w:val="24"/>
          <w:lang w:val="en-US"/>
        </w:rPr>
        <w:t>1</w:t>
      </w:r>
      <w:r>
        <w:rPr>
          <w:b/>
          <w:sz w:val="24"/>
          <w:szCs w:val="24"/>
          <w:lang w:val="en-US"/>
        </w:rPr>
        <w:t>1</w:t>
      </w:r>
      <w:r>
        <w:rPr>
          <w:b/>
          <w:sz w:val="24"/>
          <w:szCs w:val="24"/>
          <w:lang w:val="en-US"/>
        </w:rPr>
        <w:t>0</w:t>
      </w:r>
      <w:r>
        <w:rPr>
          <w:b/>
          <w:bCs/>
          <w:sz w:val="24"/>
          <w:szCs w:val="24"/>
        </w:rPr>
        <w:t xml:space="preserve"> 000,00 грн.</w:t>
      </w:r>
    </w:p>
    <w:p>
      <w:pPr>
        <w:pStyle w:val="Normal"/>
        <w:spacing w:before="0" w:after="120"/>
        <w:jc w:val="both"/>
        <w:rPr>
          <w:sz w:val="24"/>
          <w:szCs w:val="24"/>
        </w:rPr>
      </w:pPr>
      <w:r>
        <w:rPr>
          <w:sz w:val="24"/>
          <w:szCs w:val="24"/>
        </w:rPr>
        <w:t xml:space="preserve">Кількість: </w:t>
      </w:r>
      <w:r>
        <w:rPr>
          <w:b/>
          <w:sz w:val="24"/>
          <w:szCs w:val="24"/>
        </w:rPr>
        <w:t>2</w:t>
      </w:r>
      <w:r>
        <w:rPr>
          <w:b/>
          <w:bCs/>
          <w:sz w:val="24"/>
          <w:szCs w:val="24"/>
        </w:rPr>
        <w:t xml:space="preserve"> шт.</w:t>
      </w:r>
    </w:p>
    <w:p>
      <w:pPr>
        <w:pStyle w:val="Normal"/>
        <w:spacing w:before="0" w:after="120"/>
        <w:rPr>
          <w:b/>
          <w:b/>
          <w:bCs/>
          <w:sz w:val="24"/>
          <w:szCs w:val="24"/>
        </w:rPr>
      </w:pPr>
      <w:r>
        <w:rPr>
          <w:bCs/>
          <w:sz w:val="24"/>
          <w:szCs w:val="24"/>
        </w:rPr>
        <w:t xml:space="preserve">Термін постачання: </w:t>
      </w:r>
      <w:r>
        <w:rPr>
          <w:b/>
          <w:bCs/>
          <w:sz w:val="24"/>
          <w:szCs w:val="24"/>
        </w:rPr>
        <w:t>до 15.12.2023 р.</w:t>
      </w:r>
    </w:p>
    <w:p>
      <w:pPr>
        <w:pStyle w:val="Normal"/>
        <w:spacing w:before="0" w:after="120"/>
        <w:rPr>
          <w:b/>
          <w:b/>
          <w:bCs/>
          <w:sz w:val="16"/>
          <w:szCs w:val="16"/>
        </w:rPr>
      </w:pPr>
      <w:r>
        <w:rPr>
          <w:b/>
          <w:bCs/>
          <w:sz w:val="16"/>
          <w:szCs w:val="16"/>
        </w:rPr>
      </w:r>
    </w:p>
    <w:p>
      <w:pPr>
        <w:pStyle w:val="Normal"/>
        <w:spacing w:before="0" w:after="113"/>
        <w:jc w:val="center"/>
        <w:rPr>
          <w:rStyle w:val="13"/>
          <w:rFonts w:eastAsia="Times New Roman"/>
          <w:b w:val="false"/>
          <w:b w:val="false"/>
          <w:bCs w:val="false"/>
          <w:color w:val="000000"/>
          <w:sz w:val="24"/>
          <w:szCs w:val="24"/>
          <w:lang w:eastAsia="zh-CN" w:bidi="hi-IN"/>
        </w:rPr>
      </w:pPr>
      <w:r>
        <w:rPr>
          <w:b/>
          <w:bCs/>
          <w:sz w:val="24"/>
          <w:szCs w:val="24"/>
          <w:lang w:eastAsia="zh-CN" w:bidi="hi-IN"/>
        </w:rPr>
        <w:t xml:space="preserve">Інформація про необхідні технічні та якісні характеристики предмету закупівлі </w:t>
      </w:r>
      <w:r>
        <w:rPr>
          <w:rStyle w:val="13"/>
          <w:rFonts w:eastAsia="Times New Roman"/>
          <w:b w:val="false"/>
          <w:bCs w:val="false"/>
          <w:color w:val="000000"/>
          <w:sz w:val="24"/>
          <w:szCs w:val="24"/>
          <w:lang w:eastAsia="zh-CN" w:bidi="hi-IN"/>
        </w:rPr>
        <w:t xml:space="preserve"> </w:t>
      </w:r>
    </w:p>
    <w:tbl>
      <w:tblPr>
        <w:tblW w:w="5000" w:type="pct"/>
        <w:jc w:val="left"/>
        <w:tblInd w:w="28" w:type="dxa"/>
        <w:tblLayout w:type="fixed"/>
        <w:tblCellMar>
          <w:top w:w="28" w:type="dxa"/>
          <w:left w:w="28" w:type="dxa"/>
          <w:bottom w:w="28" w:type="dxa"/>
          <w:right w:w="28" w:type="dxa"/>
        </w:tblCellMar>
        <w:tblLook w:val="0000"/>
      </w:tblPr>
      <w:tblGrid>
        <w:gridCol w:w="2887"/>
        <w:gridCol w:w="7034"/>
      </w:tblGrid>
      <w:tr>
        <w:trPr>
          <w:trHeight w:val="276" w:hRule="atLeast"/>
        </w:trPr>
        <w:tc>
          <w:tcPr>
            <w:tcW w:w="2887" w:type="dxa"/>
            <w:tcBorders>
              <w:top w:val="single" w:sz="2" w:space="0" w:color="000000"/>
              <w:left w:val="single" w:sz="2" w:space="0" w:color="000000"/>
              <w:bottom w:val="single" w:sz="2" w:space="0" w:color="000000"/>
            </w:tcBorders>
            <w:shd w:color="auto" w:fill="auto" w:val="clear"/>
            <w:vAlign w:val="center"/>
          </w:tcPr>
          <w:p>
            <w:pPr>
              <w:pStyle w:val="Normal"/>
              <w:widowControl w:val="false"/>
              <w:jc w:val="center"/>
              <w:rPr/>
            </w:pPr>
            <w:r>
              <w:rPr>
                <w:rFonts w:cs="Arial" w:ascii="Arial" w:hAnsi="Arial"/>
                <w:b/>
                <w:sz w:val="18"/>
                <w:szCs w:val="18"/>
              </w:rPr>
              <w:t>Найменування</w:t>
            </w:r>
          </w:p>
        </w:tc>
        <w:tc>
          <w:tcPr>
            <w:tcW w:w="703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cs="Arial" w:ascii="Arial" w:hAnsi="Arial"/>
                <w:b/>
                <w:sz w:val="18"/>
                <w:szCs w:val="18"/>
              </w:rPr>
              <w:t>Технічні вимоги</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b/>
                <w:bCs/>
                <w:color w:val="000000"/>
                <w:lang w:eastAsia="zh-CN" w:bidi="hi-IN"/>
              </w:rPr>
              <w:t>Т</w:t>
            </w:r>
            <w:r>
              <w:rPr>
                <w:rFonts w:cs="Arial" w:ascii="Arial" w:hAnsi="Arial"/>
                <w:b/>
              </w:rPr>
              <w:t>ип</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Мережевий накопичувач</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Процесор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гірше AMD V1500B</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Операційна система</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QTS</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Пам'ять</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гірше 8 GB DDR4 + 5 ГБ (Flash-пам'ять)</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Слоти для дисків</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менше 8 x 2,5" або 3,5" HDD/SSD з інтерфейсом SATA II або SATA III до 144 ТБ</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Керування дисками</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гірше RAID:  0, 1, 5, 6, 10, 50, 60, TP, triple Mirro</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Керування пристроєм</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Web-браузер, утиліта</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b/>
              </w:rPr>
              <w:t>Інтерфейси</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rPr>
                <w:rFonts w:ascii="Arial" w:hAnsi="Arial" w:cs="Arial"/>
              </w:rPr>
            </w:pPr>
            <w:r>
              <w:rPr>
                <w:rFonts w:cs="Arial" w:ascii="Arial" w:hAnsi="Arial"/>
              </w:rPr>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LAN</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менше 2 (2,5GbE)</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USB</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менше 3xUSB 3.2 Gen 2, 1xUSB 3.2 Gen 1</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інші</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2 (M.2 2280 PCIe Gen3 x1), слоти розширення :  2х PCIe Gen3 x4</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b/>
                <w:bCs/>
              </w:rPr>
              <w:t>Програмна частина</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rPr>
                <w:rFonts w:ascii="Arial" w:hAnsi="Arial" w:cs="Arial"/>
              </w:rPr>
            </w:pPr>
            <w:r>
              <w:rPr>
                <w:rFonts w:cs="Arial" w:ascii="Arial" w:hAnsi="Arial"/>
              </w:rPr>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Файл-сервер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CIFS/SMB, AFP, NFS, FTP/FTPS, HTTP/HTTPS (веб-менеджер файлів), WebDAV</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FTP-сервер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FTP через SSL/TLS (явний), підтримка FXP</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Backup-сервер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HBS 3 (Hybrid Backup Sync)</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Принт-сервер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є</w:t>
            </w:r>
          </w:p>
        </w:tc>
      </w:tr>
      <w:tr>
        <w:trPr>
          <w:trHeight w:val="477"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Web-сервер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HTTP/HTTPS з'єднання, підтримка з'єднань WebDAV, підтримка віртуальних хостів (до 32), SSL-сертифікати</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Медіа-сервер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Music Station, Photo Station, DLNA Server, iTunes Server</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Автономне завантаження</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завантаження без ПК (BitTorrent, FlashGet, FTP/FTPS, HTTP/HTTPS, QQDL та Thunder)</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Відео-сервер</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є</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Інші мережі та протоколи</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iSCSI (IP SAN), Qsync, Qfiling, Virtualization Station, myQNAPcloud і т.д.</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b/>
                <w:bCs/>
              </w:rPr>
              <w:t>Підтримка файлових систем</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rPr>
                <w:rFonts w:ascii="Arial" w:hAnsi="Arial" w:cs="Arial"/>
              </w:rPr>
            </w:pPr>
            <w:r>
              <w:rPr>
                <w:rFonts w:cs="Arial" w:ascii="Arial" w:hAnsi="Arial"/>
              </w:rPr>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FAT</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зовнішні HDD</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NTFS</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зовнішні HDD</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EXT3</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зовнішні HDD</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rPr>
              <w:t>EXT4</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внутрішні/зовнішні HDD</w:t>
            </w:r>
          </w:p>
        </w:tc>
      </w:tr>
      <w:tr>
        <w:trPr>
          <w:trHeight w:val="276" w:hRule="atLeast"/>
        </w:trPr>
        <w:tc>
          <w:tcPr>
            <w:tcW w:w="2887" w:type="dxa"/>
            <w:tcBorders>
              <w:left w:val="single" w:sz="2" w:space="0" w:color="000000"/>
              <w:bottom w:val="single" w:sz="2" w:space="0" w:color="000000"/>
            </w:tcBorders>
            <w:shd w:color="auto" w:fill="auto" w:val="clear"/>
            <w:vAlign w:val="center"/>
          </w:tcPr>
          <w:p>
            <w:pPr>
              <w:pStyle w:val="Normal"/>
              <w:widowControl w:val="false"/>
              <w:rPr/>
            </w:pPr>
            <w:r>
              <w:rPr>
                <w:rFonts w:cs="Arial" w:ascii="Arial" w:hAnsi="Arial"/>
                <w:b/>
                <w:bCs/>
              </w:rPr>
              <w:t>Фізичні параметри</w:t>
            </w:r>
          </w:p>
        </w:tc>
        <w:tc>
          <w:tcPr>
            <w:tcW w:w="7034"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rPr>
                <w:rFonts w:ascii="Arial" w:hAnsi="Arial" w:cs="Arial"/>
              </w:rPr>
            </w:pPr>
            <w:r>
              <w:rPr>
                <w:rFonts w:cs="Arial" w:ascii="Arial" w:hAnsi="Arial"/>
              </w:rPr>
            </w:r>
          </w:p>
        </w:tc>
      </w:tr>
      <w:tr>
        <w:trPr>
          <w:trHeight w:val="276" w:hRule="atLeast"/>
        </w:trPr>
        <w:tc>
          <w:tcPr>
            <w:tcW w:w="2887" w:type="dxa"/>
            <w:tcBorders>
              <w:left w:val="single" w:sz="2" w:space="0" w:color="000000"/>
              <w:bottom w:val="single" w:sz="4" w:space="0" w:color="000000"/>
            </w:tcBorders>
            <w:shd w:color="auto" w:fill="auto" w:val="clear"/>
            <w:vAlign w:val="center"/>
          </w:tcPr>
          <w:p>
            <w:pPr>
              <w:pStyle w:val="Normal"/>
              <w:widowControl w:val="false"/>
              <w:rPr/>
            </w:pPr>
            <w:r>
              <w:rPr>
                <w:rFonts w:cs="Arial" w:ascii="Arial" w:hAnsi="Arial"/>
              </w:rPr>
              <w:t>Розміри, мм</w:t>
            </w:r>
          </w:p>
        </w:tc>
        <w:tc>
          <w:tcPr>
            <w:tcW w:w="7034" w:type="dxa"/>
            <w:tcBorders>
              <w:left w:val="single" w:sz="2" w:space="0" w:color="000000"/>
              <w:bottom w:val="single" w:sz="4" w:space="0" w:color="000000"/>
              <w:right w:val="single" w:sz="2"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більше 188,2 x 329,3 x 280,8</w:t>
            </w:r>
          </w:p>
        </w:tc>
      </w:tr>
      <w:tr>
        <w:trPr>
          <w:trHeight w:val="276" w:hRule="atLeast"/>
        </w:trPr>
        <w:tc>
          <w:tcPr>
            <w:tcW w:w="2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cs="Arial" w:ascii="Arial" w:hAnsi="Arial"/>
              </w:rPr>
              <w:t>Вага без HDD, кг</w:t>
            </w:r>
          </w:p>
        </w:tc>
        <w:tc>
          <w:tcPr>
            <w:tcW w:w="7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Fonts w:eastAsia="Arial" w:cs="Arial" w:ascii="Arial" w:hAnsi="Arial"/>
              </w:rPr>
              <w:t xml:space="preserve"> </w:t>
            </w:r>
            <w:r>
              <w:rPr>
                <w:rFonts w:cs="Arial" w:ascii="Arial" w:hAnsi="Arial"/>
              </w:rPr>
              <w:t>Не більше 6,8</w:t>
            </w:r>
          </w:p>
        </w:tc>
      </w:tr>
      <w:tr>
        <w:trPr>
          <w:trHeight w:val="276" w:hRule="atLeast"/>
        </w:trPr>
        <w:tc>
          <w:tcPr>
            <w:tcW w:w="2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rPr>
            </w:pPr>
            <w:r>
              <w:rPr>
                <w:rFonts w:cs="Arial" w:ascii="Arial" w:hAnsi="Arial"/>
              </w:rPr>
              <w:t>Гарантійний термін</w:t>
            </w:r>
          </w:p>
        </w:tc>
        <w:tc>
          <w:tcPr>
            <w:tcW w:w="7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eastAsia="Arial" w:cs="Arial"/>
              </w:rPr>
            </w:pPr>
            <w:r>
              <w:rPr>
                <w:rFonts w:cs="Arial" w:ascii="Arial" w:hAnsi="Arial"/>
              </w:rPr>
              <w:t xml:space="preserve"> </w:t>
            </w:r>
            <w:r>
              <w:rPr>
                <w:rFonts w:cs="Arial" w:ascii="Arial" w:hAnsi="Arial"/>
              </w:rPr>
              <w:t>Не менше 12 місяців від виробника</w:t>
            </w:r>
          </w:p>
        </w:tc>
      </w:tr>
    </w:tbl>
    <w:p>
      <w:pPr>
        <w:pStyle w:val="Normal"/>
        <w:spacing w:before="0" w:after="113"/>
        <w:jc w:val="center"/>
        <w:rPr>
          <w:rStyle w:val="13"/>
          <w:rFonts w:eastAsia="Times New Roman"/>
          <w:b w:val="false"/>
          <w:b w:val="false"/>
          <w:bCs w:val="false"/>
          <w:color w:val="000000"/>
          <w:sz w:val="24"/>
          <w:szCs w:val="24"/>
          <w:lang w:eastAsia="zh-CN" w:bidi="hi-IN"/>
        </w:rPr>
      </w:pPr>
      <w:r>
        <w:rPr>
          <w:rFonts w:eastAsia="Times New Roman"/>
          <w:b w:val="false"/>
          <w:bCs w:val="false"/>
          <w:color w:val="000000"/>
          <w:sz w:val="24"/>
          <w:szCs w:val="24"/>
          <w:lang w:eastAsia="zh-CN" w:bidi="hi-IN"/>
        </w:rPr>
      </w:r>
    </w:p>
    <w:p>
      <w:pPr>
        <w:pStyle w:val="Normal"/>
        <w:rPr/>
      </w:pPr>
      <w:r>
        <w:rPr/>
      </w:r>
    </w:p>
    <w:p>
      <w:pPr>
        <w:pStyle w:val="Normal"/>
        <w:numPr>
          <w:ilvl w:val="0"/>
          <w:numId w:val="1"/>
        </w:numPr>
        <w:jc w:val="both"/>
        <w:rPr/>
      </w:pPr>
      <w:r>
        <w:rPr>
          <w:sz w:val="24"/>
          <w:szCs w:val="24"/>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(надати лист в довільній формі).</w:t>
      </w:r>
    </w:p>
    <w:p>
      <w:pPr>
        <w:pStyle w:val="33"/>
        <w:numPr>
          <w:ilvl w:val="0"/>
          <w:numId w:val="1"/>
        </w:numPr>
        <w:spacing w:before="0" w:after="0"/>
        <w:contextualSpacing w:val="false"/>
        <w:jc w:val="both"/>
        <w:rPr/>
      </w:pPr>
      <w:r>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pPr>
        <w:pStyle w:val="33"/>
        <w:numPr>
          <w:ilvl w:val="0"/>
          <w:numId w:val="1"/>
        </w:numPr>
        <w:spacing w:before="0" w:after="0"/>
        <w:contextualSpacing w:val="false"/>
        <w:jc w:val="both"/>
        <w:rPr/>
      </w:pPr>
      <w:r>
        <w:rPr/>
        <w:t xml:space="preserve">Учасник надає перелік сервісних центрів служби технічної підтримки, у яких буде здійснюватися гарантійне обслуговування на території України. Під час постачання Учасник надає гарантійні талони зі строком гарантії, з вказанням назви обладнання та  серійних номерів. </w:t>
      </w:r>
    </w:p>
    <w:p>
      <w:pPr>
        <w:pStyle w:val="33"/>
        <w:numPr>
          <w:ilvl w:val="0"/>
          <w:numId w:val="1"/>
        </w:numPr>
        <w:spacing w:before="0" w:after="0"/>
        <w:contextualSpacing w:val="false"/>
        <w:jc w:val="both"/>
        <w:rPr/>
      </w:pPr>
      <w:r>
        <w:rPr/>
        <w:t>Усі гарантійні талони заповнюються згідно вимог виробника.</w:t>
      </w:r>
    </w:p>
    <w:p>
      <w:pPr>
        <w:pStyle w:val="Normal"/>
        <w:numPr>
          <w:ilvl w:val="0"/>
          <w:numId w:val="1"/>
        </w:numPr>
        <w:jc w:val="both"/>
        <w:rPr/>
      </w:pPr>
      <w:r>
        <w:rPr>
          <w:sz w:val="24"/>
          <w:szCs w:val="24"/>
        </w:rPr>
        <w:t xml:space="preserve">Весь товар має узгоджуватись з усіма електричними вимогами, що встановлені в Україні. </w:t>
      </w:r>
    </w:p>
    <w:p>
      <w:pPr>
        <w:pStyle w:val="Normal"/>
        <w:numPr>
          <w:ilvl w:val="0"/>
          <w:numId w:val="1"/>
        </w:numPr>
        <w:jc w:val="both"/>
        <w:rPr/>
      </w:pPr>
      <w:r>
        <w:rPr>
          <w:sz w:val="24"/>
          <w:szCs w:val="24"/>
        </w:rPr>
        <w:t xml:space="preserve">Учасник надає порівняльну таблицю відповідності запропонованого товару технічним вимогам Замовника; </w:t>
      </w:r>
    </w:p>
    <w:p>
      <w:pPr>
        <w:pStyle w:val="33"/>
        <w:numPr>
          <w:ilvl w:val="0"/>
          <w:numId w:val="1"/>
        </w:numPr>
        <w:spacing w:before="0" w:after="0"/>
        <w:contextualSpacing w:val="false"/>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33"/>
        <w:spacing w:before="0" w:after="0"/>
        <w:contextualSpacing w:val="false"/>
        <w:jc w:val="both"/>
        <w:rPr/>
      </w:pPr>
      <w:r>
        <w:rPr/>
      </w:r>
    </w:p>
    <w:p>
      <w:pPr>
        <w:pStyle w:val="Normal"/>
        <w:jc w:val="both"/>
        <w:rPr/>
      </w:pPr>
      <w:r>
        <w:rPr>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pPr>
        <w:pStyle w:val="Normal"/>
        <w:jc w:val="both"/>
        <w:rPr/>
      </w:pPr>
      <w:r>
        <w:rPr>
          <w:sz w:val="24"/>
          <w:szCs w:val="24"/>
          <w:lang w:eastAsia="zh-CN"/>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pPr>
        <w:pStyle w:val="Normal"/>
        <w:spacing w:before="0" w:after="113"/>
        <w:jc w:val="center"/>
        <w:rPr>
          <w:rStyle w:val="13"/>
          <w:rFonts w:eastAsia="Times New Roman"/>
          <w:b w:val="false"/>
          <w:b w:val="false"/>
          <w:bCs w:val="false"/>
          <w:color w:val="000000"/>
          <w:sz w:val="24"/>
          <w:szCs w:val="24"/>
          <w:lang w:eastAsia="zh-CN" w:bidi="hi-IN"/>
        </w:rPr>
      </w:pPr>
      <w:r>
        <w:rPr/>
      </w:r>
    </w:p>
    <w:sectPr>
      <w:headerReference w:type="default" r:id="rId2"/>
      <w:headerReference w:type="first" r:id="rId3"/>
      <w:type w:val="nextPage"/>
      <w:pgSz w:w="11906" w:h="16838"/>
      <w:pgMar w:left="1418" w:right="566" w:gutter="0" w:header="394" w:top="673" w:footer="0" w:bottom="426"/>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Symbol">
    <w:charset w:val="01"/>
    <w:family w:val="roman"/>
    <w:pitch w:val="default"/>
  </w:font>
  <w:font w:name="OpenSymbol">
    <w:altName w:val="Arial Unicode MS"/>
    <w:charset w:val="01"/>
    <w:family w:val="roman"/>
    <w:pitch w:val="default"/>
  </w:font>
  <w:font w:name="Liberation Serif">
    <w:altName w:val="Times New Roman"/>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63892511"/>
    </w:sdtPr>
    <w:sdtContent>
      <w:p>
        <w:pPr>
          <w:pStyle w:val="Style34"/>
          <w:jc w:val="center"/>
          <w:rPr/>
        </w:pPr>
        <w:r>
          <w:rPr/>
          <w:fldChar w:fldCharType="begin"/>
        </w:r>
        <w:r>
          <w:rPr/>
          <w:instrText xml:space="preserve"> PAGE </w:instrText>
        </w:r>
        <w:r>
          <w:rPr/>
          <w:fldChar w:fldCharType="separate"/>
        </w:r>
        <w:r>
          <w:rPr/>
          <w:t>2</w:t>
        </w:r>
        <w:r>
          <w:rPr/>
          <w:fldChar w:fldCharType="end"/>
        </w:r>
      </w:p>
    </w:sdtContent>
  </w:sdt>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8346040"/>
    </w:sdtPr>
    <w:sdtContent>
      <w:p>
        <w:pPr>
          <w:pStyle w:val="Style34"/>
          <w:jc w:val="center"/>
          <w:rPr/>
        </w:pPr>
        <w:r>
          <w:rPr/>
          <w:fldChar w:fldCharType="begin"/>
        </w:r>
        <w:r>
          <w:rPr/>
          <w:instrText xml:space="preserve"> PAGE </w:instrText>
        </w:r>
        <w:r>
          <w:rPr/>
          <w:fldChar w:fldCharType="separate"/>
        </w:r>
        <w:r>
          <w:rPr/>
          <w:t>1</w:t>
        </w:r>
        <w:r>
          <w:rPr/>
          <w:fldChar w:fldCharType="end"/>
        </w:r>
      </w:p>
    </w:sdtContent>
  </w:sdt>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customStyle="1">
    <w:name w:val="Heading 1"/>
    <w:basedOn w:val="Normal"/>
    <w:next w:val="Normal"/>
    <w:link w:val="11"/>
    <w:qFormat/>
    <w:rsid w:val="00c773bf"/>
    <w:pPr>
      <w:keepNext w:val="true"/>
      <w:jc w:val="right"/>
      <w:outlineLvl w:val="0"/>
    </w:pPr>
    <w:rPr>
      <w:b/>
      <w:bCs/>
    </w:rPr>
  </w:style>
  <w:style w:type="paragraph" w:styleId="2" w:customStyle="1">
    <w:name w:val="Heading 2"/>
    <w:basedOn w:val="Normal"/>
    <w:next w:val="Normal"/>
    <w:link w:val="21"/>
    <w:qFormat/>
    <w:rsid w:val="00c773bf"/>
    <w:pPr>
      <w:keepNext w:val="true"/>
      <w:jc w:val="right"/>
      <w:outlineLvl w:val="1"/>
    </w:pPr>
    <w:rPr>
      <w:b/>
      <w:bCs/>
    </w:rPr>
  </w:style>
  <w:style w:type="paragraph" w:styleId="3" w:customStyle="1">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customStyle="1">
    <w:name w:val="Heading 6"/>
    <w:basedOn w:val="Normal"/>
    <w:next w:val="Normal"/>
    <w:link w:val="61"/>
    <w:qFormat/>
    <w:rsid w:val="00c773bf"/>
    <w:pPr>
      <w:keepNext w:val="true"/>
      <w:spacing w:before="60" w:after="0"/>
      <w:jc w:val="center"/>
      <w:outlineLvl w:val="5"/>
    </w:pPr>
    <w:rPr>
      <w:b/>
      <w:bCs/>
    </w:rPr>
  </w:style>
  <w:style w:type="paragraph" w:styleId="7" w:customStyle="1">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2875ec"/>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uiPriority w:val="99"/>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2875ec"/>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2875ec"/>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2875ec"/>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2875ec"/>
    <w:rPr>
      <w:rFonts w:ascii="Times New Roman" w:hAnsi="Times New Roman" w:cs="Times New Roman"/>
      <w:sz w:val="20"/>
      <w:szCs w:val="20"/>
      <w:lang w:val="uk-UA"/>
    </w:rPr>
  </w:style>
  <w:style w:type="character" w:styleId="Strong">
    <w:name w:val="Strong"/>
    <w:qFormat/>
    <w:rsid w:val="00c773bf"/>
    <w:rPr>
      <w:rFonts w:cs="Times New Roman"/>
      <w:b/>
      <w:bCs/>
    </w:rPr>
  </w:style>
  <w:style w:type="character" w:styleId="Style16" w:customStyle="1">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2875ec"/>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2875ec"/>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customStyle="1">
    <w:name w:val="Відвідане гіперпосилання"/>
    <w:basedOn w:val="DefaultParagraphFont"/>
    <w:locked/>
    <w:rsid w:val="006a5048"/>
    <w:rPr>
      <w:color w:val="800080"/>
      <w:u w:val="single"/>
    </w:rPr>
  </w:style>
  <w:style w:type="character" w:styleId="Style23" w:customStyle="1">
    <w:name w:val="Основной текст_"/>
    <w:link w:val="110"/>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WW8Num2z0" w:customStyle="1">
    <w:name w:val="WW8Num2z0"/>
    <w:qFormat/>
    <w:rsid w:val="00e46b65"/>
    <w:rPr>
      <w:rFonts w:ascii="Symbol" w:hAnsi="Symbol" w:cs="Liberation Serif;Times New Roma"/>
    </w:rPr>
  </w:style>
  <w:style w:type="character" w:styleId="WW8Num2z1" w:customStyle="1">
    <w:name w:val="WW8Num2z1"/>
    <w:qFormat/>
    <w:rsid w:val="00e46b65"/>
    <w:rPr>
      <w:rFonts w:ascii="OpenSymbol;Arial Unicode MS" w:hAnsi="OpenSymbol;Arial Unicode MS" w:cs="OpenSymbol;Arial Unicode MS"/>
    </w:rPr>
  </w:style>
  <w:style w:type="character" w:styleId="WW8Num2z3" w:customStyle="1">
    <w:name w:val="WW8Num2z3"/>
    <w:qFormat/>
    <w:rsid w:val="00e46b65"/>
    <w:rPr>
      <w:rFonts w:ascii="Symbol" w:hAnsi="Symbol" w:cs="Symbol"/>
    </w:rPr>
  </w:style>
  <w:style w:type="character" w:styleId="Style24" w:customStyle="1">
    <w:name w:val="Маркери"/>
    <w:qFormat/>
    <w:rsid w:val="00e46b65"/>
    <w:rPr>
      <w:rFonts w:ascii="OpenSymbol" w:hAnsi="OpenSymbol" w:eastAsia="OpenSymbol" w:cs="OpenSymbol"/>
    </w:rPr>
  </w:style>
  <w:style w:type="character" w:styleId="Style25" w:customStyle="1">
    <w:name w:val="Символ нумерації"/>
    <w:qFormat/>
    <w:rsid w:val="00e46b65"/>
    <w:rPr/>
  </w:style>
  <w:style w:type="character" w:styleId="311" w:customStyle="1">
    <w:name w:val="Заголовок 3 Знак1"/>
    <w:basedOn w:val="DefaultParagraphFont"/>
    <w:qFormat/>
    <w:rsid w:val="00165eb8"/>
    <w:rPr>
      <w:rFonts w:ascii="Liberation Serif" w:hAnsi="Liberation Serif" w:eastAsia="Droid Sans Fallback" w:cs="FreeSans"/>
      <w:b/>
      <w:bCs/>
      <w:sz w:val="28"/>
      <w:szCs w:val="28"/>
      <w:lang w:eastAsia="zh-CN"/>
    </w:rPr>
  </w:style>
  <w:style w:type="character" w:styleId="13" w:customStyle="1">
    <w:name w:val="Строгий1"/>
    <w:qFormat/>
    <w:rsid w:val="00165eb8"/>
    <w:rPr>
      <w:rFonts w:cs="Times New Roman"/>
      <w:b/>
      <w:bCs/>
    </w:rPr>
  </w:style>
  <w:style w:type="character" w:styleId="14" w:customStyle="1">
    <w:name w:val="Верхний колонтитул Знак1"/>
    <w:basedOn w:val="DefaultParagraphFont"/>
    <w:qFormat/>
    <w:rsid w:val="00215a79"/>
    <w:rPr>
      <w:rFonts w:ascii="Times New Roman" w:hAnsi="Times New Roman"/>
      <w:lang w:eastAsia="ru-RU"/>
    </w:rPr>
  </w:style>
  <w:style w:type="character" w:styleId="15" w:customStyle="1">
    <w:name w:val="Нижний колонтитул Знак1"/>
    <w:basedOn w:val="DefaultParagraphFont"/>
    <w:qFormat/>
    <w:rsid w:val="00215a79"/>
    <w:rPr>
      <w:rFonts w:ascii="Times New Roman" w:hAnsi="Times New Roman"/>
      <w:lang w:eastAsia="ru-RU"/>
    </w:rPr>
  </w:style>
  <w:style w:type="character" w:styleId="24" w:customStyle="1">
    <w:name w:val="Строгий2"/>
    <w:qFormat/>
    <w:rsid w:val="00d718bf"/>
    <w:rPr>
      <w:rFonts w:cs="Times New Roman"/>
      <w:b/>
      <w:bCs/>
    </w:rPr>
  </w:style>
  <w:style w:type="paragraph" w:styleId="Style26" w:customStyle="1">
    <w:name w:val="Заголовок"/>
    <w:basedOn w:val="Normal"/>
    <w:next w:val="Style27"/>
    <w:qFormat/>
    <w:rsid w:val="00c773bf"/>
    <w:pPr>
      <w:keepNext w:val="true"/>
      <w:spacing w:before="240" w:after="120"/>
    </w:pPr>
    <w:rPr>
      <w:rFonts w:ascii="Liberation Sans" w:hAnsi="Liberation Sans" w:eastAsia="Times New Roman" w:cs="Liberation Sans"/>
      <w:color w:val="00000A"/>
      <w:sz w:val="28"/>
      <w:szCs w:val="28"/>
    </w:rPr>
  </w:style>
  <w:style w:type="paragraph" w:styleId="Style27">
    <w:name w:val="Body Text"/>
    <w:basedOn w:val="Normal"/>
    <w:link w:val="Style13"/>
    <w:rsid w:val="00c773bf"/>
    <w:pPr>
      <w:spacing w:before="0" w:after="120"/>
    </w:pPr>
    <w:rPr/>
  </w:style>
  <w:style w:type="paragraph" w:styleId="Style28">
    <w:name w:val="List"/>
    <w:basedOn w:val="Style27"/>
    <w:rsid w:val="00e46b65"/>
    <w:pPr/>
    <w:rPr>
      <w:rFonts w:cs="Lucida Sans"/>
    </w:rPr>
  </w:style>
  <w:style w:type="paragraph" w:styleId="Style29" w:customStyle="1">
    <w:name w:val="Caption"/>
    <w:basedOn w:val="Normal"/>
    <w:qFormat/>
    <w:rsid w:val="00e46b65"/>
    <w:pPr>
      <w:suppressLineNumbers/>
      <w:spacing w:before="120" w:after="120"/>
    </w:pPr>
    <w:rPr>
      <w:rFonts w:cs="Lucida Sans"/>
      <w:i/>
      <w:iCs/>
      <w:sz w:val="24"/>
      <w:szCs w:val="24"/>
    </w:rPr>
  </w:style>
  <w:style w:type="paragraph" w:styleId="Style30" w:customStyle="1">
    <w:name w:val="Покажчик"/>
    <w:basedOn w:val="Normal"/>
    <w:qFormat/>
    <w:rsid w:val="00c773bf"/>
    <w:pPr>
      <w:suppressLineNumbers/>
    </w:pPr>
    <w:rPr>
      <w:color w:val="00000A"/>
    </w:rPr>
  </w:style>
  <w:style w:type="paragraph" w:styleId="Style31">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2">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3" w:customStyle="1">
    <w:name w:val="Верхній і нижній колонтитули"/>
    <w:basedOn w:val="Normal"/>
    <w:qFormat/>
    <w:rsid w:val="00e46b65"/>
    <w:pPr/>
    <w:rPr/>
  </w:style>
  <w:style w:type="paragraph" w:styleId="Style34">
    <w:name w:val="Header"/>
    <w:basedOn w:val="Normal"/>
    <w:link w:val="14"/>
    <w:uiPriority w:val="99"/>
    <w:locked/>
    <w:rsid w:val="00215a79"/>
    <w:pPr>
      <w:tabs>
        <w:tab w:val="clear" w:pos="709"/>
        <w:tab w:val="center" w:pos="4819" w:leader="none"/>
        <w:tab w:val="right" w:pos="9639" w:leader="none"/>
      </w:tabs>
    </w:pPr>
    <w:rPr/>
  </w:style>
  <w:style w:type="paragraph" w:styleId="Style35">
    <w:name w:val="Footer"/>
    <w:basedOn w:val="Normal"/>
    <w:link w:val="15"/>
    <w:locked/>
    <w:rsid w:val="00215a79"/>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6"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6"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7"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7">
    <w:name w:val="Body Text Indent"/>
    <w:basedOn w:val="Normal"/>
    <w:link w:val="Style15"/>
    <w:rsid w:val="00c773bf"/>
    <w:pPr>
      <w:spacing w:before="0" w:after="120"/>
      <w:ind w:left="283" w:hanging="0"/>
    </w:pPr>
    <w:rPr/>
  </w:style>
  <w:style w:type="paragraph" w:styleId="18"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8"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9"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40" w:customStyle="1">
    <w:name w:val="Содержимое таблицы"/>
    <w:basedOn w:val="Normal"/>
    <w:qFormat/>
    <w:rsid w:val="00cc455e"/>
    <w:pPr>
      <w:widowControl w:val="fals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9" w:customStyle="1">
    <w:name w:val="Обычный (веб)1"/>
    <w:basedOn w:val="Normal"/>
    <w:qFormat/>
    <w:rsid w:val="00c00c8d"/>
    <w:pPr>
      <w:widowControl w:val="fals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pacing w:lineRule="auto" w:line="480" w:before="0" w:after="120"/>
    </w:pPr>
    <w:rPr>
      <w:rFonts w:eastAsia="Times New Roman"/>
      <w:sz w:val="24"/>
      <w:szCs w:val="24"/>
      <w:lang w:val="ru-RU" w:eastAsia="zh-CN"/>
    </w:rPr>
  </w:style>
  <w:style w:type="paragraph" w:styleId="312"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lang w:eastAsia="zh-CN"/>
    </w:rPr>
  </w:style>
  <w:style w:type="paragraph" w:styleId="Style310" w:customStyle="1">
    <w:name w:val="Style3"/>
    <w:basedOn w:val="Normal"/>
    <w:qFormat/>
    <w:rsid w:val="00c00c8d"/>
    <w:pPr>
      <w:widowControl w:val="fals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1" w:customStyle="1">
    <w:name w:val="Вміст таблиці"/>
    <w:basedOn w:val="Normal"/>
    <w:qFormat/>
    <w:rsid w:val="00e8472f"/>
    <w:pPr>
      <w:suppressLineNumbers/>
    </w:pPr>
    <w:rPr>
      <w:rFonts w:eastAsia="Times New Roman"/>
      <w:sz w:val="24"/>
      <w:szCs w:val="24"/>
      <w:lang w:val="ru-RU" w:eastAsia="zh-CN"/>
    </w:rPr>
  </w:style>
  <w:style w:type="paragraph" w:styleId="110"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2" w:customStyle="1">
    <w:name w:val="Вміст рамки"/>
    <w:basedOn w:val="Normal"/>
    <w:qFormat/>
    <w:rsid w:val="00e46b65"/>
    <w:pPr/>
    <w:rPr/>
  </w:style>
  <w:style w:type="paragraph" w:styleId="25" w:customStyle="1">
    <w:name w:val="Абзац списка2"/>
    <w:basedOn w:val="Normal"/>
    <w:qFormat/>
    <w:rsid w:val="00165eb8"/>
    <w:pPr>
      <w:spacing w:before="0" w:after="0"/>
      <w:ind w:left="720" w:hanging="0"/>
      <w:contextualSpacing/>
    </w:pPr>
    <w:rPr>
      <w:rFonts w:eastAsia="Times New Roman"/>
      <w:sz w:val="24"/>
      <w:szCs w:val="24"/>
      <w:lang w:eastAsia="zh-CN"/>
    </w:rPr>
  </w:style>
  <w:style w:type="paragraph" w:styleId="33" w:customStyle="1">
    <w:name w:val="Абзац списка3"/>
    <w:basedOn w:val="Normal"/>
    <w:qFormat/>
    <w:rsid w:val="00d718bf"/>
    <w:pPr>
      <w:spacing w:before="0" w:after="0"/>
      <w:ind w:left="720" w:hanging="0"/>
      <w:contextualSpacing/>
    </w:pPr>
    <w:rPr>
      <w:rFonts w:eastAsia="Times New Roman"/>
      <w:sz w:val="24"/>
      <w:szCs w:val="24"/>
      <w:lang w:eastAsia="zh-CN"/>
    </w:rPr>
  </w:style>
  <w:style w:type="numbering" w:styleId="NoList" w:default="1">
    <w:name w:val="No List"/>
    <w:uiPriority w:val="99"/>
    <w:semiHidden/>
    <w:unhideWhenUsed/>
    <w:qFormat/>
  </w:style>
  <w:style w:type="numbering" w:styleId="WW8Num2" w:customStyle="1">
    <w:name w:val="WW8Num2"/>
    <w:qFormat/>
    <w:rsid w:val="00e46b65"/>
  </w:style>
  <w:style w:type="table" w:default="1" w:styleId="a3">
    <w:name w:val="Normal Table"/>
    <w:uiPriority w:val="99"/>
    <w:semiHidden/>
    <w:unhideWhenUsed/>
    <w:qFormat/>
    <w:tblPr>
      <w:tblCellMar>
        <w:top w:w="0" w:type="dxa"/>
        <w:left w:w="108" w:type="dxa"/>
        <w:bottom w:w="0" w:type="dxa"/>
        <w:right w:w="108" w:type="dxa"/>
      </w:tblCellMar>
    </w:tblPr>
  </w:style>
  <w:style w:type="table" w:styleId="affa">
    <w:name w:val="Table Grid"/>
    <w:basedOn w:val="a3"/>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Application>LibreOffice/7.3.0.3$Windows_X86_64 LibreOffice_project/0f246aa12d0eee4a0f7adcefbf7c878fc2238db3</Application>
  <AppVersion>15.0000</AppVersion>
  <Pages>2</Pages>
  <Words>548</Words>
  <Characters>3482</Characters>
  <CharactersWithSpaces>3982</CharactersWithSpaces>
  <Paragraphs>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2023-11-06T13:59:06Z</dcterms:modified>
  <cp:revision>54</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