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1"/>
        <w:ind w:left="5872"/>
        <w:jc w:val="right"/>
        <w:rPr>
          <w:b/>
          <w:bCs/>
          <w:spacing w:val="-3"/>
        </w:rPr>
      </w:pPr>
      <w:r>
        <w:rPr>
          <w:b/>
          <w:bCs/>
        </w:rPr>
        <w:t>Д</w:t>
      </w:r>
      <w:r>
        <w:rPr>
          <w:b/>
          <w:bCs/>
          <w:lang w:val="uk-UA"/>
        </w:rPr>
        <w:t>ОДАТОК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3"/>
        </w:rPr>
        <w:t xml:space="preserve"> </w:t>
      </w:r>
    </w:p>
    <w:p>
      <w:pPr>
        <w:pStyle w:val="5"/>
        <w:spacing w:before="61"/>
        <w:ind w:left="5872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</w:t>
      </w:r>
      <w:r>
        <w:rPr>
          <w:b w:val="0"/>
          <w:bCs w:val="0"/>
          <w:i/>
          <w:iCs/>
          <w:spacing w:val="4"/>
        </w:rPr>
        <w:t xml:space="preserve"> </w:t>
      </w:r>
      <w:r>
        <w:rPr>
          <w:b w:val="0"/>
          <w:bCs w:val="0"/>
          <w:i/>
          <w:iCs/>
        </w:rPr>
        <w:t>тендерної</w:t>
      </w:r>
      <w:r>
        <w:rPr>
          <w:b w:val="0"/>
          <w:bCs w:val="0"/>
          <w:i/>
          <w:iCs/>
          <w:spacing w:val="-8"/>
        </w:rPr>
        <w:t xml:space="preserve"> </w:t>
      </w:r>
      <w:r>
        <w:rPr>
          <w:b w:val="0"/>
          <w:bCs w:val="0"/>
          <w:i/>
          <w:iCs/>
          <w:spacing w:val="-2"/>
        </w:rPr>
        <w:t>документації</w:t>
      </w:r>
    </w:p>
    <w:p>
      <w:pPr>
        <w:pStyle w:val="2"/>
        <w:spacing w:before="185" w:line="274" w:lineRule="exact"/>
        <w:ind w:left="511"/>
        <w:jc w:val="center"/>
        <w:rPr>
          <w:highlight w:val="none"/>
        </w:rPr>
      </w:pPr>
      <w:r>
        <w:rPr>
          <w:highlight w:val="none"/>
        </w:rPr>
        <w:t>ФОРМА</w:t>
      </w:r>
      <w:r>
        <w:rPr>
          <w:spacing w:val="-7"/>
          <w:highlight w:val="none"/>
        </w:rPr>
        <w:t xml:space="preserve"> </w:t>
      </w:r>
      <w:r>
        <w:rPr>
          <w:highlight w:val="none"/>
        </w:rPr>
        <w:t>“ТЕНДЕРНА</w:t>
      </w:r>
      <w:r>
        <w:rPr>
          <w:spacing w:val="59"/>
          <w:highlight w:val="none"/>
        </w:rPr>
        <w:t xml:space="preserve"> </w:t>
      </w:r>
      <w:r>
        <w:rPr>
          <w:spacing w:val="-2"/>
          <w:highlight w:val="none"/>
        </w:rPr>
        <w:t>ПРОПОЗИЦІЯ”</w:t>
      </w:r>
    </w:p>
    <w:p>
      <w:pPr>
        <w:spacing w:before="0" w:line="240" w:lineRule="auto"/>
        <w:ind w:left="17" w:leftChars="0" w:right="865" w:hanging="17" w:firstLineChars="0"/>
        <w:jc w:val="center"/>
        <w:rPr>
          <w:rFonts w:hint="default"/>
          <w:sz w:val="20"/>
          <w:u w:val="single"/>
          <w:lang w:val="uk-UA"/>
        </w:rPr>
      </w:pPr>
      <w:r>
        <w:rPr>
          <w:sz w:val="20"/>
          <w:u w:val="single"/>
        </w:rPr>
        <w:t>(форма, яка подається учасником на фірмовому бланку</w:t>
      </w:r>
      <w:r>
        <w:rPr>
          <w:rFonts w:hint="default"/>
          <w:sz w:val="20"/>
          <w:u w:val="single"/>
          <w:lang w:val="uk-UA"/>
        </w:rPr>
        <w:t xml:space="preserve"> (за наявності), учасник не повинен відступати від встановленої форми)</w:t>
      </w:r>
    </w:p>
    <w:p>
      <w:pPr>
        <w:spacing w:before="240" w:after="0" w:line="36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bookmarkStart w:id="0" w:name="_Hlk162475940"/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Олива моторна для карбюраторних двигунів, олива моторна для дизельних двигунів, олива трансмісійна, олива для двотактних двигунів, олива гідравлічна </w:t>
      </w:r>
      <w:bookmarkEnd w:id="0"/>
    </w:p>
    <w:p>
      <w:pPr>
        <w:spacing w:before="240" w:after="0" w:line="360" w:lineRule="auto"/>
        <w:jc w:val="center"/>
        <w:rPr>
          <w:rFonts w:hint="default"/>
          <w:lang w:val="uk-UA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за ДК 021:2015 “Єдиний закупівельний словник” – 09210000-4 Мастильні засоби</w:t>
      </w:r>
    </w:p>
    <w:p>
      <w:pPr>
        <w:pStyle w:val="5"/>
        <w:tabs>
          <w:tab w:val="left" w:pos="9395"/>
        </w:tabs>
        <w:spacing w:before="268"/>
        <w:ind w:right="433"/>
        <w:jc w:val="center"/>
      </w:pPr>
      <w:r>
        <w:t xml:space="preserve">Найменування учасника: </w:t>
      </w:r>
      <w:r>
        <w:rPr>
          <w:u w:val="single"/>
        </w:rPr>
        <w:tab/>
      </w:r>
    </w:p>
    <w:p>
      <w:pPr>
        <w:spacing w:before="2"/>
        <w:ind w:left="0" w:right="183" w:firstLine="0"/>
        <w:jc w:val="center"/>
        <w:rPr>
          <w:i/>
          <w:sz w:val="20"/>
        </w:rPr>
      </w:pPr>
      <w:r>
        <w:rPr>
          <w:i/>
          <w:sz w:val="20"/>
        </w:rPr>
        <w:t>(повна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назва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3" w:lineRule="exact"/>
        <w:ind w:left="316"/>
      </w:pPr>
      <w:r>
        <w:t>в</w:t>
      </w:r>
      <w:r>
        <w:rPr>
          <w:spacing w:val="-1"/>
        </w:rPr>
        <w:t xml:space="preserve"> </w:t>
      </w:r>
      <w:r>
        <w:rPr>
          <w:spacing w:val="-4"/>
        </w:rPr>
        <w:t>особі</w:t>
      </w:r>
    </w:p>
    <w:p>
      <w:pPr>
        <w:pStyle w:val="5"/>
        <w:spacing w:before="19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173355</wp:posOffset>
                </wp:positionV>
                <wp:extent cx="5640070" cy="1270"/>
                <wp:effectExtent l="0" t="0" r="0" b="0"/>
                <wp:wrapTopAndBottom/>
                <wp:docPr id="21" name="Graphi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070">
                              <a:moveTo>
                                <a:pt x="0" y="0"/>
                              </a:moveTo>
                              <a:lnTo>
                                <a:pt x="564001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" o:spid="_x0000_s1026" o:spt="100" style="position:absolute;left:0pt;margin-left:70.8pt;margin-top:13.65pt;height:0.1pt;width:444.1pt;mso-position-horizontal-relative:page;mso-wrap-distance-bottom:0pt;mso-wrap-distance-top:0pt;z-index:-251657216;mso-width-relative:page;mso-height-relative:page;" filled="f" stroked="t" coordsize="5640070,1" o:gfxdata="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1Fih2AAAAAoBAAAPAAAAAAAA&#10;AAEAIAAAACIAAABkcnMvZG93bnJldi54bWxQSwECFAAUAAAACACHTuJAmt9QJxICAAB8BAAADgAA&#10;AAAAAAABACAAAAAnAQAAZHJzL2Uyb0RvYy54bWxQSwUGAAAAAAYABgBZAQAAqwUAAAAA&#10;" path="m0,0l5640019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8" w:lineRule="exact"/>
        <w:ind w:left="0" w:right="188" w:firstLine="0"/>
        <w:jc w:val="center"/>
        <w:rPr>
          <w:i/>
          <w:sz w:val="20"/>
        </w:rPr>
      </w:pPr>
      <w:r>
        <w:rPr>
          <w:i/>
          <w:sz w:val="20"/>
        </w:rPr>
        <w:t>(прізвище,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ім'я,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батькові,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посада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відповідальної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особи)</w:t>
      </w:r>
    </w:p>
    <w:p>
      <w:pPr>
        <w:pStyle w:val="5"/>
        <w:spacing w:line="360" w:lineRule="auto"/>
        <w:ind w:left="0" w:leftChars="0" w:right="350" w:rightChars="159" w:firstLine="0" w:firstLineChars="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Уповноважений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повідомити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наступне:</w:t>
      </w:r>
    </w:p>
    <w:p>
      <w:pPr>
        <w:spacing w:after="0" w:line="360" w:lineRule="auto"/>
        <w:ind w:left="0" w:leftChars="0" w:right="350" w:rightChars="159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Вивчивши, технічні, якісні та кількісні характеристики предмета закупівлі, ми уповноважені на підписання Договору, маємо можливість здійснити </w:t>
      </w:r>
      <w:r>
        <w:rPr>
          <w:sz w:val="24"/>
          <w:szCs w:val="24"/>
          <w:lang w:val="uk-UA"/>
        </w:rPr>
        <w:t>поставку</w:t>
      </w:r>
      <w:r>
        <w:rPr>
          <w:rFonts w:hint="default"/>
          <w:sz w:val="24"/>
          <w:szCs w:val="24"/>
          <w:lang w:val="uk-UA"/>
        </w:rPr>
        <w:t xml:space="preserve"> за предметом закупівлі </w:t>
      </w:r>
      <w:r>
        <w:rPr>
          <w:rFonts w:ascii="Times New Roman" w:hAnsi="Times New Roman" w:eastAsia="Times New Roman"/>
          <w:b/>
          <w:bCs/>
          <w:i/>
          <w:iCs/>
          <w:sz w:val="24"/>
          <w:szCs w:val="24"/>
        </w:rPr>
        <w:t>Олива моторна для карбюраторних двигунів, олива моторна для дизельних двигунів, олива трансмісійна, олива для двотактних двигунів, олива гідравлічна</w:t>
      </w:r>
      <w:r>
        <w:rPr>
          <w:rFonts w:hint="default"/>
          <w:b/>
          <w:bCs/>
          <w:i/>
          <w:iCs/>
          <w:sz w:val="24"/>
          <w:szCs w:val="24"/>
          <w:lang w:val="uk-UA"/>
        </w:rPr>
        <w:t xml:space="preserve"> за ДК 021:2015 “Єдиний закупівельний словник” - 09210000-4 Мастильні засоби</w:t>
      </w:r>
      <w:r>
        <w:rPr>
          <w:sz w:val="24"/>
          <w:szCs w:val="24"/>
        </w:rPr>
        <w:t>, виконати вимоги Замовника на умовах, зазначених у цій тендерній пропозиції.</w:t>
      </w:r>
    </w:p>
    <w:p>
      <w:pPr>
        <w:pStyle w:val="6"/>
        <w:numPr>
          <w:ilvl w:val="0"/>
          <w:numId w:val="1"/>
        </w:numPr>
        <w:tabs>
          <w:tab w:val="left" w:pos="9776"/>
        </w:tabs>
        <w:spacing w:before="3" w:after="0" w:line="240" w:lineRule="auto"/>
        <w:ind w:left="-2" w:leftChars="-110" w:right="350" w:rightChars="159" w:hanging="240" w:hangingChars="100"/>
        <w:jc w:val="left"/>
        <w:rPr>
          <w:sz w:val="24"/>
          <w:szCs w:val="24"/>
        </w:rPr>
      </w:pPr>
      <w:r>
        <w:rPr>
          <w:sz w:val="24"/>
          <w:szCs w:val="24"/>
        </w:rPr>
        <w:t>Адреса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(юридична, поштова) учасника торгів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9782"/>
        </w:tabs>
        <w:spacing w:before="0" w:after="0" w:line="240" w:lineRule="auto"/>
        <w:ind w:left="-2" w:leftChars="-110" w:right="350" w:rightChars="159" w:hanging="240" w:hangingChars="1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Телефон/факс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94"/>
          <w:tab w:val="left" w:pos="8048"/>
        </w:tabs>
        <w:spacing w:before="5" w:after="0" w:line="240" w:lineRule="auto"/>
        <w:ind w:left="-2" w:leftChars="-110" w:right="350" w:rightChars="159" w:hanging="240" w:hangingChars="1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Відомості про керівника (П.І.Б., посада, номер контактного телефону) – для юридичних осіб </w:t>
      </w:r>
    </w:p>
    <w:p>
      <w:pPr>
        <w:pStyle w:val="6"/>
        <w:numPr>
          <w:ilvl w:val="0"/>
          <w:numId w:val="1"/>
        </w:numPr>
        <w:tabs>
          <w:tab w:val="left" w:pos="584"/>
          <w:tab w:val="left" w:pos="8541"/>
        </w:tabs>
        <w:spacing w:before="5" w:after="0" w:line="240" w:lineRule="auto"/>
        <w:ind w:left="-2" w:leftChars="-110" w:right="350" w:rightChars="159" w:hanging="240" w:hangingChars="1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Код ЄДРПОУ (для юридичних осіб) (ідентифікаційний номер фізичної особи – платника податків та інших обов'язкових платежів)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9260"/>
        </w:tabs>
        <w:spacing w:before="0" w:after="0" w:line="240" w:lineRule="auto"/>
        <w:ind w:left="-2" w:leftChars="-110" w:right="350" w:rightChars="159" w:hanging="240" w:hangingChars="1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Банківські реквізити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80"/>
        </w:tabs>
        <w:spacing w:before="3" w:after="0" w:line="240" w:lineRule="auto"/>
        <w:ind w:left="-2" w:leftChars="-110" w:right="350" w:rightChars="159" w:hanging="240" w:hangingChars="100"/>
        <w:jc w:val="left"/>
        <w:rPr>
          <w:sz w:val="24"/>
          <w:szCs w:val="24"/>
        </w:rPr>
      </w:pPr>
      <w:r>
        <w:rPr>
          <w:sz w:val="24"/>
          <w:szCs w:val="24"/>
        </w:rPr>
        <w:t>Умови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оплати: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відтермінуванням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платежу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робочих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днів з дня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uk-UA"/>
        </w:rPr>
        <w:t>поставки</w:t>
      </w:r>
      <w:r>
        <w:rPr>
          <w:rFonts w:hint="default"/>
          <w:spacing w:val="-2"/>
          <w:sz w:val="24"/>
          <w:szCs w:val="24"/>
          <w:lang w:val="uk-UA"/>
        </w:rPr>
        <w:t xml:space="preserve"> товару</w:t>
      </w:r>
      <w:r>
        <w:rPr>
          <w:spacing w:val="-2"/>
          <w:sz w:val="24"/>
          <w:szCs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680"/>
        </w:tabs>
        <w:spacing w:before="0" w:after="0" w:line="240" w:lineRule="auto"/>
        <w:ind w:left="-2" w:leftChars="-110" w:right="350" w:rightChars="159" w:hanging="240" w:hangingChars="100"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Кінцевий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термін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4"/>
          <w:sz w:val="24"/>
          <w:szCs w:val="24"/>
          <w:highlight w:val="none"/>
          <w:lang w:val="uk-UA"/>
        </w:rPr>
        <w:t>поставки</w:t>
      </w:r>
      <w:r>
        <w:rPr>
          <w:rFonts w:hint="default"/>
          <w:spacing w:val="-4"/>
          <w:sz w:val="24"/>
          <w:szCs w:val="24"/>
          <w:highlight w:val="none"/>
          <w:lang w:val="uk-UA"/>
        </w:rPr>
        <w:t xml:space="preserve"> товару</w:t>
      </w:r>
      <w:r>
        <w:rPr>
          <w:sz w:val="24"/>
          <w:szCs w:val="24"/>
          <w:highlight w:val="none"/>
        </w:rPr>
        <w:t>: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до</w:t>
      </w:r>
      <w:r>
        <w:rPr>
          <w:spacing w:val="-5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2</w:t>
      </w:r>
      <w:r>
        <w:rPr>
          <w:rFonts w:hint="default"/>
          <w:sz w:val="24"/>
          <w:szCs w:val="24"/>
          <w:highlight w:val="none"/>
          <w:lang w:val="uk-UA"/>
        </w:rPr>
        <w:t>5</w:t>
      </w:r>
      <w:r>
        <w:rPr>
          <w:sz w:val="24"/>
          <w:szCs w:val="24"/>
          <w:highlight w:val="none"/>
        </w:rPr>
        <w:t>.12.202</w:t>
      </w:r>
      <w:r>
        <w:rPr>
          <w:rFonts w:hint="default"/>
          <w:sz w:val="24"/>
          <w:szCs w:val="24"/>
          <w:highlight w:val="none"/>
          <w:lang w:val="uk-UA"/>
        </w:rPr>
        <w:t>4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5"/>
          <w:sz w:val="24"/>
          <w:szCs w:val="24"/>
          <w:highlight w:val="none"/>
        </w:rPr>
        <w:t>р.</w:t>
      </w:r>
    </w:p>
    <w:p>
      <w:pPr>
        <w:pStyle w:val="6"/>
        <w:numPr>
          <w:ilvl w:val="0"/>
          <w:numId w:val="1"/>
        </w:numPr>
        <w:tabs>
          <w:tab w:val="left" w:pos="747"/>
        </w:tabs>
        <w:spacing w:before="0" w:after="0" w:line="240" w:lineRule="auto"/>
        <w:ind w:left="-2" w:leftChars="-110" w:right="350" w:rightChars="159" w:hanging="240" w:hangingChars="100"/>
        <w:jc w:val="left"/>
        <w:rPr>
          <w:rStyle w:val="8"/>
          <w:rFonts w:hint="default"/>
        </w:rPr>
      </w:pPr>
      <w:r>
        <w:rPr>
          <w:rFonts w:hint="default" w:ascii="Times New Roman" w:hAnsi="Times New Roman" w:cs="Times New Roman"/>
          <w:sz w:val="24"/>
          <w:szCs w:val="24"/>
        </w:rPr>
        <w:t>Тендерна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пропозиція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Style w:val="8"/>
          <w:rFonts w:hint="default"/>
          <w:lang w:val="uk-UA"/>
        </w:rPr>
        <w:t>згідно наведеної нижче таблиці:</w:t>
      </w:r>
    </w:p>
    <w:p>
      <w:pPr>
        <w:spacing w:after="0" w:line="242" w:lineRule="auto"/>
        <w:ind w:left="-2" w:leftChars="-110" w:hanging="240" w:hangingChars="100"/>
        <w:jc w:val="left"/>
        <w:rPr>
          <w:sz w:val="24"/>
        </w:rPr>
      </w:pPr>
    </w:p>
    <w:p>
      <w:pPr>
        <w:spacing w:after="0" w:line="242" w:lineRule="auto"/>
        <w:ind w:left="-2" w:leftChars="-110" w:hanging="240" w:hangingChars="100"/>
        <w:jc w:val="left"/>
        <w:rPr>
          <w:sz w:val="24"/>
        </w:rPr>
        <w:sectPr>
          <w:pgSz w:w="11910" w:h="16840"/>
          <w:pgMar w:top="940" w:right="340" w:bottom="1140" w:left="1100" w:header="0" w:footer="901" w:gutter="0"/>
          <w:cols w:space="720" w:num="1"/>
        </w:sectPr>
      </w:pPr>
    </w:p>
    <w:p>
      <w:pPr>
        <w:pStyle w:val="5"/>
        <w:spacing w:before="5"/>
        <w:jc w:val="right"/>
        <w:rPr>
          <w:rFonts w:hint="default"/>
          <w:sz w:val="2"/>
          <w:lang w:val="uk-UA"/>
        </w:rPr>
      </w:pPr>
      <w:r>
        <w:rPr>
          <w:sz w:val="2"/>
          <w:lang w:val="uk-UA"/>
        </w:rPr>
        <w:t>Та</w:t>
      </w:r>
    </w:p>
    <w:tbl>
      <w:tblPr>
        <w:tblStyle w:val="4"/>
        <w:tblW w:w="9634" w:type="dxa"/>
        <w:tblInd w:w="31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4985"/>
        <w:gridCol w:w="1067"/>
        <w:gridCol w:w="706"/>
        <w:gridCol w:w="1072"/>
        <w:gridCol w:w="1083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721" w:type="dxa"/>
            <w:tcBorders>
              <w:right w:val="single" w:color="000000" w:sz="4" w:space="0"/>
            </w:tcBorders>
            <w:vAlign w:val="top"/>
          </w:tcPr>
          <w:p>
            <w:pPr>
              <w:pStyle w:val="7"/>
              <w:spacing w:before="25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2" w:lineRule="auto"/>
              <w:ind w:left="220" w:right="159" w:firstLine="4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985" w:type="dxa"/>
            <w:tcBorders>
              <w:left w:val="single" w:color="000000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6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1"/>
              <w:ind w:left="0" w:leftChars="0" w:right="134" w:rightChars="61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067" w:type="dxa"/>
            <w:textDirection w:val="btLr"/>
            <w:vAlign w:val="top"/>
          </w:tcPr>
          <w:p>
            <w:pPr>
              <w:pStyle w:val="7"/>
              <w:spacing w:before="230"/>
              <w:ind w:left="18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Одиниця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виміру</w:t>
            </w:r>
          </w:p>
        </w:tc>
        <w:tc>
          <w:tcPr>
            <w:tcW w:w="706" w:type="dxa"/>
            <w:textDirection w:val="btLr"/>
            <w:vAlign w:val="top"/>
          </w:tcPr>
          <w:p>
            <w:pPr>
              <w:pStyle w:val="7"/>
              <w:spacing w:before="230"/>
              <w:ind w:left="69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Кількість</w:t>
            </w:r>
          </w:p>
        </w:tc>
        <w:tc>
          <w:tcPr>
            <w:tcW w:w="1072" w:type="dxa"/>
            <w:textDirection w:val="btLr"/>
            <w:vAlign w:val="top"/>
          </w:tcPr>
          <w:p>
            <w:pPr>
              <w:pStyle w:val="7"/>
              <w:spacing w:before="76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7" w:lineRule="auto"/>
              <w:ind w:left="11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Ціна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одиницю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 ПДВ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грн.</w:t>
            </w:r>
          </w:p>
        </w:tc>
        <w:tc>
          <w:tcPr>
            <w:tcW w:w="1083" w:type="dxa"/>
            <w:textDirection w:val="btLr"/>
            <w:vAlign w:val="top"/>
          </w:tcPr>
          <w:p>
            <w:pPr>
              <w:pStyle w:val="7"/>
              <w:spacing w:before="23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7" w:lineRule="auto"/>
              <w:ind w:left="11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 ПДВ, грн.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44" w:lineRule="exact"/>
              <w:ind w:left="0" w:right="9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7" w:type="dxa"/>
          </w:tcPr>
          <w:p>
            <w:pPr>
              <w:pStyle w:val="7"/>
              <w:spacing w:line="244" w:lineRule="exact"/>
              <w:ind w:left="72" w:right="97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6" w:type="dxa"/>
          </w:tcPr>
          <w:p>
            <w:pPr>
              <w:pStyle w:val="7"/>
              <w:spacing w:line="244" w:lineRule="exact"/>
              <w:ind w:firstLine="120" w:firstLine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72" w:type="dxa"/>
          </w:tcPr>
          <w:p>
            <w:pPr>
              <w:pStyle w:val="7"/>
              <w:spacing w:line="244" w:lineRule="exact"/>
              <w:ind w:left="0" w:right="34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3" w:type="dxa"/>
          </w:tcPr>
          <w:p>
            <w:pPr>
              <w:pStyle w:val="7"/>
              <w:spacing w:line="244" w:lineRule="exact"/>
              <w:ind w:left="26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firstLine="230" w:firstLineChars="10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34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7" w:type="dxa"/>
          </w:tcPr>
          <w:p>
            <w:pPr>
              <w:pStyle w:val="7"/>
              <w:spacing w:line="234" w:lineRule="exact"/>
              <w:ind w:left="0" w:right="-43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706" w:type="dxa"/>
          </w:tcPr>
          <w:p>
            <w:pPr>
              <w:pStyle w:val="7"/>
              <w:spacing w:line="234" w:lineRule="exact"/>
              <w:ind w:left="165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1072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firstLine="230" w:firstLineChars="100"/>
              <w:jc w:val="both"/>
              <w:rPr>
                <w:rFonts w:hint="default" w:ascii="Times New Roman" w:hAnsi="Times New Roman" w:cs="Times New Roman"/>
                <w:spacing w:val="-5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34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lang w:val="uk-UA"/>
              </w:rPr>
              <w:t>..........................................................................</w:t>
            </w:r>
          </w:p>
        </w:tc>
        <w:tc>
          <w:tcPr>
            <w:tcW w:w="1067" w:type="dxa"/>
          </w:tcPr>
          <w:p>
            <w:pPr>
              <w:pStyle w:val="7"/>
              <w:spacing w:line="234" w:lineRule="exact"/>
              <w:ind w:left="0" w:right="-43" w:rightChars="0"/>
              <w:jc w:val="center"/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706" w:type="dxa"/>
          </w:tcPr>
          <w:p>
            <w:pPr>
              <w:pStyle w:val="7"/>
              <w:spacing w:line="234" w:lineRule="exact"/>
              <w:ind w:left="165"/>
              <w:jc w:val="center"/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1072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0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4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pacing w:val="-8"/>
                <w:sz w:val="24"/>
                <w:szCs w:val="24"/>
                <w:lang w:val="uk-UA"/>
              </w:rPr>
              <w:t>в тому числі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uk-UA"/>
              </w:rPr>
              <w:t>*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4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pacing w:val="-9"/>
                <w:sz w:val="24"/>
                <w:szCs w:val="24"/>
                <w:lang w:val="uk-UA"/>
              </w:rPr>
              <w:t>бе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spacing w:before="1"/>
      </w:pPr>
    </w:p>
    <w:p>
      <w:pPr>
        <w:numPr>
          <w:ilvl w:val="0"/>
          <w:numId w:val="1"/>
        </w:numPr>
        <w:spacing w:after="0" w:line="360" w:lineRule="auto"/>
        <w:ind w:left="316" w:leftChars="0" w:right="0" w:rightChars="0" w:firstLine="343" w:firstLineChars="143"/>
        <w:jc w:val="both"/>
        <w:rPr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Ціна </w:t>
      </w:r>
      <w:r>
        <w:rPr>
          <w:rFonts w:hint="default" w:cs="Times New Roman"/>
          <w:color w:val="000000"/>
          <w:sz w:val="24"/>
          <w:szCs w:val="24"/>
          <w:rtl w:val="0"/>
          <w:lang w:val="uk-UA"/>
        </w:rPr>
        <w:t>товару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 включає: ціну Товару, всі податки, збори та інші обов’язкові платежі, витрати, пов’язані з передпродажною підготовкою та реалізацією Товару Замовнику, всі витрати Постачальника, враховуючи вартість транспортних послуг на доставку Товару до місця поставки, визначеного цим Договором,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здійснення вантажно-розвантажувальних послуг при поставці Товару;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rtl w:val="0"/>
        </w:rPr>
        <w:t>занос Товару в приміщення; перевірку комплектності, цілісності та відсутності пошкоджень у присутності представників Замовника.</w:t>
      </w:r>
    </w:p>
    <w:p>
      <w:pPr>
        <w:pStyle w:val="6"/>
        <w:numPr>
          <w:ilvl w:val="0"/>
          <w:numId w:val="1"/>
        </w:numPr>
        <w:tabs>
          <w:tab w:val="left" w:pos="1097"/>
        </w:tabs>
        <w:spacing w:before="0" w:after="0" w:line="360" w:lineRule="auto"/>
        <w:ind w:left="316" w:right="0" w:rightChars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 погоджуємося з основними умовами Договору, які викладені у Додатку 3 до </w:t>
      </w:r>
      <w:r>
        <w:rPr>
          <w:sz w:val="24"/>
          <w:szCs w:val="24"/>
          <w:lang w:val="uk-UA"/>
        </w:rPr>
        <w:t>тендерної</w:t>
      </w:r>
      <w:r>
        <w:rPr>
          <w:rFonts w:hint="default"/>
          <w:sz w:val="24"/>
          <w:szCs w:val="24"/>
          <w:lang w:val="uk-UA"/>
        </w:rPr>
        <w:t xml:space="preserve"> д</w:t>
      </w:r>
      <w:r>
        <w:rPr>
          <w:sz w:val="24"/>
          <w:szCs w:val="24"/>
        </w:rPr>
        <w:t xml:space="preserve">окументації «Проект договору», та з тим, що основні умови Договору про закупівлю не можуть змінюватися після його підписання до виконання зобов’язань </w:t>
      </w:r>
      <w:r>
        <w:rPr>
          <w:sz w:val="24"/>
          <w:szCs w:val="24"/>
          <w:lang w:val="uk-UA"/>
        </w:rPr>
        <w:t>С</w:t>
      </w:r>
      <w:r>
        <w:rPr>
          <w:sz w:val="24"/>
          <w:szCs w:val="24"/>
        </w:rPr>
        <w:t xml:space="preserve">торонами у повному обсязі, крім випадків, визначених </w:t>
      </w:r>
      <w:r>
        <w:rPr>
          <w:sz w:val="24"/>
          <w:szCs w:val="24"/>
          <w:lang w:val="uk-UA"/>
        </w:rPr>
        <w:t>пунктом</w:t>
      </w:r>
      <w:r>
        <w:rPr>
          <w:rFonts w:hint="default"/>
          <w:sz w:val="24"/>
          <w:szCs w:val="24"/>
          <w:lang w:val="uk-UA"/>
        </w:rPr>
        <w:t xml:space="preserve"> 19 Особливостей</w:t>
      </w:r>
      <w:r>
        <w:rPr>
          <w:spacing w:val="-2"/>
          <w:sz w:val="24"/>
          <w:szCs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1137"/>
        </w:tabs>
        <w:spacing w:before="0" w:after="0" w:line="360" w:lineRule="auto"/>
        <w:ind w:left="316" w:right="0" w:rightChars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Ми згідні дотримуватися умов тендерної пропозиції протягом 120</w:t>
      </w:r>
      <w:r>
        <w:rPr>
          <w:rFonts w:hint="default"/>
          <w:sz w:val="24"/>
          <w:szCs w:val="24"/>
          <w:lang w:val="uk-UA"/>
        </w:rPr>
        <w:t xml:space="preserve"> (ста двадцяти)</w:t>
      </w:r>
      <w:r>
        <w:rPr>
          <w:sz w:val="24"/>
          <w:szCs w:val="24"/>
        </w:rPr>
        <w:t xml:space="preserve"> днів з дня розкриття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пропозицій.</w:t>
      </w:r>
    </w:p>
    <w:p>
      <w:pPr>
        <w:pStyle w:val="6"/>
        <w:numPr>
          <w:ilvl w:val="0"/>
          <w:numId w:val="1"/>
        </w:numPr>
        <w:tabs>
          <w:tab w:val="left" w:pos="1084"/>
        </w:tabs>
        <w:spacing w:before="0" w:after="0" w:line="360" w:lineRule="auto"/>
        <w:ind w:left="316" w:right="0" w:rightChars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Якщо за результатами розгляду та оцінки нашої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пропозиції, ми будемо визначені переможцем процедури закупівлі та буде прийнято рішення про намір укласти Договір, ми зобов’язуємося підписати Договір з замовником не пізніше, ніж через 15 днів з дня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>
      <w:pPr>
        <w:pStyle w:val="5"/>
        <w:spacing w:line="360" w:lineRule="auto"/>
        <w:rPr>
          <w:sz w:val="24"/>
          <w:szCs w:val="24"/>
        </w:rPr>
      </w:pPr>
    </w:p>
    <w:p>
      <w:pPr>
        <w:pStyle w:val="5"/>
        <w:spacing w:before="13" w:line="36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169545</wp:posOffset>
                </wp:positionV>
                <wp:extent cx="5564505" cy="1270"/>
                <wp:effectExtent l="0" t="0" r="0" b="0"/>
                <wp:wrapTopAndBottom/>
                <wp:docPr id="23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4505">
                              <a:moveTo>
                                <a:pt x="0" y="0"/>
                              </a:moveTo>
                              <a:lnTo>
                                <a:pt x="556437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o:spt="100" style="position:absolute;left:0pt;margin-left:106.8pt;margin-top:13.35pt;height:0.1pt;width:438.15pt;mso-position-horizontal-relative:page;mso-wrap-distance-bottom:0pt;mso-wrap-distance-top:0pt;z-index:-251656192;mso-width-relative:page;mso-height-relative:page;" filled="f" stroked="t" coordsize="5564505,1" o:gfxdata="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L1kpzWAAAACgEAAA8AAAAA&#10;AAAAAQAgAAAAIgAAAGRycy9kb3ducmV2LnhtbFBLAQIUABQAAAAIAIdO4kAKPVXFFgIAAHwEAAAO&#10;AAAAAAAAAAEAIAAAACUBAABkcnMvZTJvRG9jLnhtbFBLBQYAAAAABgAGAFkBAACtBQAAAAA=&#10;" path="m0,0l556437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9" w:lineRule="exact"/>
        <w:ind w:left="1872" w:right="0" w:firstLine="0"/>
        <w:jc w:val="left"/>
        <w:rPr>
          <w:i/>
          <w:sz w:val="20"/>
        </w:rPr>
      </w:pPr>
      <w:r>
        <w:rPr>
          <w:i/>
          <w:sz w:val="20"/>
        </w:rPr>
        <w:t>(Посада,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ініціали,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підпис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керівника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або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уповноваженої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особи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5" w:lineRule="exact"/>
        <w:ind w:left="654" w:right="490"/>
        <w:jc w:val="center"/>
      </w:pPr>
      <w:r>
        <w:rPr>
          <w:spacing w:val="-4"/>
        </w:rPr>
        <w:t>М.П.</w:t>
      </w:r>
    </w:p>
    <w:p>
      <w:pPr>
        <w:pStyle w:val="5"/>
        <w:ind w:right="500"/>
        <w:jc w:val="both"/>
      </w:pPr>
    </w:p>
    <w:p>
      <w:pPr>
        <w:pStyle w:val="5"/>
        <w:ind w:left="0" w:leftChars="0" w:right="500" w:firstLine="0" w:firstLineChars="0"/>
        <w:jc w:val="left"/>
        <w:rPr>
          <w:rFonts w:hint="default"/>
          <w:i/>
          <w:iCs/>
          <w:lang w:val="uk-UA"/>
        </w:rPr>
      </w:pPr>
      <w:r>
        <w:rPr>
          <w:rFonts w:hint="default"/>
          <w:i/>
          <w:iCs/>
          <w:lang w:val="uk-UA"/>
        </w:rPr>
        <w:t>* ПДВ нараховується у випадках, передбачених законодавством України.</w:t>
      </w:r>
    </w:p>
    <w:p>
      <w:pPr>
        <w:pStyle w:val="5"/>
        <w:ind w:left="0" w:leftChars="0" w:right="500" w:firstLine="0" w:firstLineChars="0"/>
        <w:jc w:val="left"/>
        <w:rPr>
          <w:rFonts w:hint="default"/>
          <w:i/>
          <w:iCs/>
          <w:lang w:val="uk-UA"/>
        </w:rPr>
      </w:pPr>
    </w:p>
    <w:p>
      <w:pPr>
        <w:spacing w:after="0" w:line="240" w:lineRule="auto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rtl w:val="0"/>
          <w:lang w:val="uk-UA"/>
        </w:rPr>
        <w:t>Ціна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товару повинна бути зазначена за нульовою ставковою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податку на додану вартість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відповідно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до підпункту “г” підпункту 195.1.2 пункту 195.1 статті 195 розділу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/>
        </w:rPr>
        <w:t xml:space="preserve">V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>Податкового Кодексу України та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Постанови КМУ від 02.03.2022 № 178 «Деякі питання обкладання податком на додану вартість за нульовою ставкою у період воєнного стану».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</w:t>
      </w:r>
      <w:bookmarkStart w:id="1" w:name="_GoBack"/>
      <w:bookmarkEnd w:id="1"/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sz w:val="22"/>
          <w:szCs w:val="22"/>
          <w:lang w:val="uk-UA"/>
        </w:rPr>
      </w:pP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sz w:val="22"/>
          <w:szCs w:val="22"/>
          <w:lang w:val="uk-UA"/>
        </w:rPr>
      </w:pPr>
    </w:p>
    <w:p>
      <w:pPr>
        <w:pStyle w:val="5"/>
        <w:ind w:left="316" w:right="500" w:firstLine="542"/>
        <w:jc w:val="both"/>
        <w:sectPr>
          <w:pgSz w:w="11910" w:h="16840"/>
          <w:pgMar w:top="520" w:right="910" w:bottom="1140" w:left="1100" w:header="0" w:footer="901" w:gutter="0"/>
          <w:cols w:space="720" w:num="1"/>
        </w:sectPr>
      </w:pPr>
      <w:r>
        <w:t xml:space="preserve">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316" w:hanging="39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334" w:hanging="394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348" w:hanging="394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363" w:hanging="39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377" w:hanging="39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392" w:hanging="39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406" w:hanging="39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420" w:hanging="39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435" w:hanging="39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D02F6"/>
    <w:rsid w:val="1F693A18"/>
    <w:rsid w:val="245109A3"/>
    <w:rsid w:val="25523035"/>
    <w:rsid w:val="3C0A32EA"/>
    <w:rsid w:val="3FFF72E9"/>
    <w:rsid w:val="46C0371D"/>
    <w:rsid w:val="59795412"/>
    <w:rsid w:val="59F05A80"/>
    <w:rsid w:val="6497425F"/>
    <w:rsid w:val="65B640C9"/>
    <w:rsid w:val="77D32AF4"/>
    <w:rsid w:val="7C2E7787"/>
    <w:rsid w:val="7ED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qFormat/>
    <w:uiPriority w:val="1"/>
    <w:pPr>
      <w:spacing w:line="272" w:lineRule="exact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type="paragraph" w:styleId="6">
    <w:name w:val="List Paragraph"/>
    <w:basedOn w:val="1"/>
    <w:qFormat/>
    <w:uiPriority w:val="1"/>
    <w:pPr>
      <w:ind w:left="316" w:firstLine="71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customStyle="1" w:styleId="7">
    <w:name w:val="Table Paragraph"/>
    <w:basedOn w:val="1"/>
    <w:qFormat/>
    <w:uiPriority w:val="1"/>
    <w:pPr>
      <w:ind w:left="105"/>
    </w:pPr>
    <w:rPr>
      <w:rFonts w:ascii="Times New Roman" w:hAnsi="Times New Roman" w:eastAsia="Times New Roman" w:cs="Times New Roman"/>
      <w:lang w:val="uk-UA" w:eastAsia="en-US" w:bidi="ar-SA"/>
    </w:rPr>
  </w:style>
  <w:style w:type="character" w:customStyle="1" w:styleId="8">
    <w:name w:val="Основной текст Char"/>
    <w:link w:val="5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2024-01-30T12:53:00Z</dcterms:created>
  <dc:creator>Admin</dc:creator>
  <cp:lastModifiedBy>Оксана Павлюк</cp:lastModifiedBy>
  <dcterms:modified xsi:type="dcterms:W3CDTF">2024-04-16T06:46:31Z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E3DB1EB78A834EE5A57A1A9987CC97FC_12</vt:lpwstr>
  </property>
</Properties>
</file>